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86396" w14:textId="77777777" w:rsidR="00BB6E2B" w:rsidRDefault="00C62DEC">
      <w:pPr>
        <w:pStyle w:val="a6"/>
        <w:widowControl/>
        <w:shd w:val="clear" w:color="auto" w:fill="FFFFFF"/>
        <w:spacing w:beforeAutospacing="0" w:afterAutospacing="0"/>
        <w:jc w:val="center"/>
        <w:rPr>
          <w:rFonts w:ascii="华文楷体" w:eastAsia="华文楷体" w:hAnsi="华文楷体" w:cs="华文楷体"/>
          <w:spacing w:val="5"/>
          <w:sz w:val="32"/>
          <w:szCs w:val="32"/>
          <w:shd w:val="clear" w:color="auto" w:fill="FFFFFF"/>
        </w:rPr>
      </w:pPr>
      <w:r>
        <w:rPr>
          <w:rFonts w:ascii="华文楷体" w:eastAsia="华文楷体" w:hAnsi="华文楷体" w:cs="华文楷体" w:hint="eastAsia"/>
          <w:spacing w:val="5"/>
          <w:sz w:val="32"/>
          <w:szCs w:val="32"/>
          <w:shd w:val="clear" w:color="auto" w:fill="FFFFFF"/>
        </w:rPr>
        <w:t>全球贸易及产业增长实验室</w:t>
      </w:r>
    </w:p>
    <w:p w14:paraId="7E0161CE" w14:textId="77777777" w:rsidR="00BB6E2B" w:rsidRDefault="00BB6E2B">
      <w:pPr>
        <w:pStyle w:val="a6"/>
        <w:widowControl/>
        <w:shd w:val="clear" w:color="auto" w:fill="FFFFFF"/>
        <w:spacing w:beforeAutospacing="0" w:afterAutospacing="0"/>
        <w:jc w:val="both"/>
        <w:rPr>
          <w:rFonts w:ascii="仿宋" w:eastAsia="仿宋" w:hAnsi="仿宋" w:cs="仿宋"/>
          <w:spacing w:val="5"/>
          <w:sz w:val="17"/>
          <w:szCs w:val="17"/>
          <w:shd w:val="clear" w:color="auto" w:fill="FFFFFF"/>
        </w:rPr>
      </w:pPr>
    </w:p>
    <w:p w14:paraId="161226C2" w14:textId="77777777" w:rsidR="00BB6E2B" w:rsidRDefault="00BB6E2B">
      <w:pPr>
        <w:pStyle w:val="a6"/>
        <w:widowControl/>
        <w:shd w:val="clear" w:color="auto" w:fill="FFFFFF"/>
        <w:spacing w:beforeAutospacing="0" w:afterAutospacing="0"/>
        <w:jc w:val="both"/>
        <w:rPr>
          <w:rFonts w:ascii="宋体" w:eastAsia="宋体" w:hAnsi="宋体" w:cs="宋体"/>
          <w:spacing w:val="5"/>
          <w:shd w:val="clear" w:color="auto" w:fill="FFFFFF"/>
        </w:rPr>
      </w:pPr>
    </w:p>
    <w:p w14:paraId="51658AF6" w14:textId="77777777" w:rsidR="00BB6E2B" w:rsidRDefault="00C62DEC">
      <w:pPr>
        <w:pStyle w:val="a6"/>
        <w:widowControl/>
        <w:shd w:val="clear" w:color="auto" w:fill="FFFFFF"/>
        <w:spacing w:beforeAutospacing="0" w:afterAutospacing="0"/>
        <w:ind w:firstLineChars="200" w:firstLine="480"/>
        <w:jc w:val="both"/>
        <w:rPr>
          <w:rFonts w:ascii="宋体" w:eastAsia="宋体" w:hAnsi="宋体" w:cs="宋体"/>
          <w:spacing w:val="5"/>
          <w:sz w:val="22"/>
          <w:szCs w:val="22"/>
          <w:shd w:val="clear" w:color="auto" w:fill="FFFFFF"/>
        </w:rPr>
      </w:pPr>
      <w:r>
        <w:rPr>
          <w:rFonts w:ascii="华文楷体" w:eastAsia="华文楷体" w:hAnsi="华文楷体" w:cs="华文楷体" w:hint="eastAsia"/>
          <w:lang w:val="zh-CN" w:bidi="zh-CN"/>
        </w:rPr>
        <w:t>全球贸易及产业增长实验室，简称</w:t>
      </w:r>
      <w:r>
        <w:rPr>
          <w:rFonts w:ascii="华文楷体" w:eastAsia="华文楷体" w:hAnsi="华文楷体" w:cs="华文楷体" w:hint="eastAsia"/>
          <w:lang w:val="zh-CN" w:bidi="zh-CN"/>
        </w:rPr>
        <w:t>GTI</w:t>
      </w:r>
      <w:r>
        <w:rPr>
          <w:rFonts w:ascii="华文楷体" w:eastAsia="华文楷体" w:hAnsi="华文楷体" w:cs="华文楷体" w:hint="eastAsia"/>
          <w:lang w:val="zh-CN" w:bidi="zh-CN"/>
        </w:rPr>
        <w:t>（</w:t>
      </w:r>
      <w:r>
        <w:rPr>
          <w:rFonts w:ascii="华文楷体" w:eastAsia="华文楷体" w:hAnsi="华文楷体" w:cs="华文楷体" w:hint="eastAsia"/>
          <w:lang w:val="zh-CN" w:bidi="zh-CN"/>
        </w:rPr>
        <w:t>https://gti.sinoimex.com/</w:t>
      </w:r>
      <w:r>
        <w:rPr>
          <w:rFonts w:ascii="华文楷体" w:eastAsia="华文楷体" w:hAnsi="华文楷体" w:cs="华文楷体" w:hint="eastAsia"/>
          <w:lang w:val="zh-CN" w:bidi="zh-CN"/>
        </w:rPr>
        <w:t>）</w:t>
      </w:r>
      <w:r>
        <w:rPr>
          <w:rFonts w:ascii="华文楷体" w:eastAsia="华文楷体" w:hAnsi="华文楷体" w:cs="华文楷体" w:hint="eastAsia"/>
          <w:lang w:val="zh-CN" w:bidi="zh-CN"/>
        </w:rPr>
        <w:t xml:space="preserve"> </w:t>
      </w:r>
      <w:r>
        <w:rPr>
          <w:rFonts w:ascii="华文楷体" w:eastAsia="华文楷体" w:hAnsi="华文楷体" w:cs="华文楷体" w:hint="eastAsia"/>
          <w:lang w:val="zh-CN" w:bidi="zh-CN"/>
        </w:rPr>
        <w:t>是</w:t>
      </w:r>
      <w:proofErr w:type="gramStart"/>
      <w:r>
        <w:rPr>
          <w:rFonts w:ascii="华文楷体" w:eastAsia="华文楷体" w:hAnsi="华文楷体" w:cs="华文楷体" w:hint="eastAsia"/>
          <w:lang w:val="zh-CN" w:bidi="zh-CN"/>
        </w:rPr>
        <w:t>瀚</w:t>
      </w:r>
      <w:proofErr w:type="gramEnd"/>
      <w:r>
        <w:rPr>
          <w:rFonts w:ascii="华文楷体" w:eastAsia="华文楷体" w:hAnsi="华文楷体" w:cs="华文楷体" w:hint="eastAsia"/>
          <w:lang w:val="zh-CN" w:bidi="zh-CN"/>
        </w:rPr>
        <w:t>闻资讯算法工程团队倾力打造的基于多维数据映射分析建模技术的世界经贸分析预测平台，是大数据</w:t>
      </w:r>
      <w:proofErr w:type="gramStart"/>
      <w:r>
        <w:rPr>
          <w:rFonts w:ascii="华文楷体" w:eastAsia="华文楷体" w:hAnsi="华文楷体" w:cs="华文楷体" w:hint="eastAsia"/>
          <w:lang w:val="zh-CN" w:bidi="zh-CN"/>
        </w:rPr>
        <w:t>云计算</w:t>
      </w:r>
      <w:proofErr w:type="gramEnd"/>
      <w:r>
        <w:rPr>
          <w:rFonts w:ascii="华文楷体" w:eastAsia="华文楷体" w:hAnsi="华文楷体" w:cs="华文楷体" w:hint="eastAsia"/>
          <w:lang w:val="zh-CN" w:bidi="zh-CN"/>
        </w:rPr>
        <w:t>领域的创新分析建模工具及可视化平台。</w:t>
      </w:r>
      <w:r>
        <w:rPr>
          <w:rFonts w:ascii="华文楷体" w:eastAsia="华文楷体" w:hAnsi="华文楷体" w:cs="华文楷体" w:hint="eastAsia"/>
          <w:lang w:bidi="zh-CN"/>
        </w:rPr>
        <w:t>不仅</w:t>
      </w:r>
      <w:r>
        <w:rPr>
          <w:rFonts w:ascii="华文楷体" w:eastAsia="华文楷体" w:hAnsi="华文楷体" w:cs="华文楷体" w:hint="eastAsia"/>
          <w:lang w:val="zh-CN" w:bidi="zh-CN"/>
        </w:rPr>
        <w:t>提供了全球</w:t>
      </w:r>
      <w:r>
        <w:rPr>
          <w:rFonts w:ascii="华文楷体" w:eastAsia="华文楷体" w:hAnsi="华文楷体" w:cs="华文楷体" w:hint="eastAsia"/>
          <w:lang w:bidi="zh-CN"/>
        </w:rPr>
        <w:t>205</w:t>
      </w:r>
      <w:r>
        <w:rPr>
          <w:rFonts w:ascii="华文楷体" w:eastAsia="华文楷体" w:hAnsi="华文楷体" w:cs="华文楷体" w:hint="eastAsia"/>
          <w:lang w:val="zh-CN" w:bidi="zh-CN"/>
        </w:rPr>
        <w:t>个国家和地区货物贸易的进出口统计数据，涵盖全球所有重要经济体及全部“一带一路”沿线国家，</w:t>
      </w:r>
      <w:r>
        <w:rPr>
          <w:rFonts w:ascii="华文楷体" w:eastAsia="华文楷体" w:hAnsi="华文楷体" w:cs="华文楷体" w:hint="eastAsia"/>
          <w:lang w:bidi="zh-CN"/>
        </w:rPr>
        <w:t>而且</w:t>
      </w:r>
      <w:r>
        <w:rPr>
          <w:rFonts w:ascii="华文楷体" w:eastAsia="华文楷体" w:hAnsi="华文楷体" w:cs="华文楷体" w:hint="eastAsia"/>
          <w:lang w:val="zh-CN" w:bidi="zh-CN"/>
        </w:rPr>
        <w:t>在全球贸</w:t>
      </w:r>
      <w:r>
        <w:rPr>
          <w:rFonts w:ascii="华文楷体" w:eastAsia="华文楷体" w:hAnsi="华文楷体" w:cs="华文楷体"/>
          <w:lang w:val="zh-CN" w:bidi="zh-CN"/>
        </w:rPr>
        <w:t>易可视化、构建产业空间，计算潜力市场及全球贸易统计数据库下载等方面填补国内多项空白。</w:t>
      </w:r>
    </w:p>
    <w:p w14:paraId="3F90D8D5" w14:textId="77777777" w:rsidR="00BB6E2B" w:rsidRDefault="00C62DEC">
      <w:pPr>
        <w:pStyle w:val="a6"/>
        <w:widowControl/>
        <w:shd w:val="clear" w:color="auto" w:fill="FFFFFF"/>
        <w:spacing w:beforeAutospacing="0" w:afterAutospacing="0"/>
        <w:jc w:val="both"/>
        <w:rPr>
          <w:rFonts w:ascii="宋体" w:eastAsia="宋体" w:hAnsi="宋体" w:cs="宋体"/>
          <w:spacing w:val="5"/>
          <w:shd w:val="clear" w:color="auto" w:fill="FFFFFF"/>
        </w:rPr>
      </w:pPr>
      <w:r>
        <w:rPr>
          <w:rFonts w:ascii="Times New Roman" w:eastAsia="Microsoft YaHei UI" w:hAnsi="Times New Roman"/>
          <w:noProof/>
          <w:spacing w:val="5"/>
          <w:sz w:val="17"/>
          <w:szCs w:val="17"/>
          <w:shd w:val="clear" w:color="auto" w:fill="FFFFFF"/>
        </w:rPr>
        <w:drawing>
          <wp:inline distT="0" distB="0" distL="114300" distR="114300" wp14:anchorId="0908CD11" wp14:editId="31AFAB64">
            <wp:extent cx="5267325" cy="2506345"/>
            <wp:effectExtent l="0" t="0" r="3175" b="825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5267325" cy="2506345"/>
                    </a:xfrm>
                    <a:prstGeom prst="rect">
                      <a:avLst/>
                    </a:prstGeom>
                    <a:noFill/>
                    <a:ln w="9525">
                      <a:noFill/>
                    </a:ln>
                  </pic:spPr>
                </pic:pic>
              </a:graphicData>
            </a:graphic>
          </wp:inline>
        </w:drawing>
      </w:r>
    </w:p>
    <w:p w14:paraId="32DB3893" w14:textId="77777777" w:rsidR="00BB6E2B" w:rsidRDefault="00BB6E2B">
      <w:pPr>
        <w:pStyle w:val="a6"/>
        <w:widowControl/>
        <w:shd w:val="clear" w:color="auto" w:fill="FFFFFF"/>
        <w:spacing w:beforeAutospacing="0" w:afterAutospacing="0"/>
        <w:jc w:val="center"/>
        <w:rPr>
          <w:rFonts w:ascii="华文楷体" w:eastAsia="华文楷体" w:hAnsi="华文楷体" w:cs="华文楷体"/>
          <w:spacing w:val="5"/>
          <w:shd w:val="clear" w:color="auto" w:fill="FFFFFF"/>
        </w:rPr>
      </w:pPr>
    </w:p>
    <w:p w14:paraId="1F162709" w14:textId="77777777" w:rsidR="00BB6E2B" w:rsidRDefault="00C62DEC">
      <w:pPr>
        <w:pStyle w:val="a6"/>
        <w:widowControl/>
        <w:shd w:val="clear" w:color="auto" w:fill="FFFFFF"/>
        <w:spacing w:beforeAutospacing="0" w:afterAutospacing="0"/>
        <w:jc w:val="center"/>
        <w:rPr>
          <w:rFonts w:ascii="华文楷体" w:eastAsia="华文楷体" w:hAnsi="华文楷体" w:cs="华文楷体"/>
          <w:spacing w:val="5"/>
          <w:sz w:val="17"/>
          <w:szCs w:val="17"/>
          <w:shd w:val="clear" w:color="auto" w:fill="FFFFFF"/>
        </w:rPr>
      </w:pPr>
      <w:r>
        <w:rPr>
          <w:rFonts w:ascii="华文楷体" w:eastAsia="华文楷体" w:hAnsi="华文楷体" w:cs="华文楷体" w:hint="eastAsia"/>
          <w:spacing w:val="5"/>
          <w:shd w:val="clear" w:color="auto" w:fill="FFFFFF"/>
        </w:rPr>
        <w:t>《全球贸易及产业增长实验室》全方位解析</w:t>
      </w:r>
    </w:p>
    <w:p w14:paraId="2FE4509F" w14:textId="77777777" w:rsidR="00BB6E2B" w:rsidRDefault="00BB6E2B">
      <w:pPr>
        <w:pStyle w:val="a6"/>
        <w:widowControl/>
        <w:shd w:val="clear" w:color="auto" w:fill="FFFFFF"/>
        <w:spacing w:beforeAutospacing="0" w:afterAutospacing="0"/>
        <w:jc w:val="both"/>
        <w:rPr>
          <w:rFonts w:ascii="华文楷体" w:eastAsia="华文楷体" w:hAnsi="华文楷体" w:cs="华文楷体"/>
          <w:spacing w:val="5"/>
          <w:shd w:val="clear" w:color="auto" w:fill="FFFFFF"/>
        </w:rPr>
      </w:pPr>
    </w:p>
    <w:p w14:paraId="64F5C11F" w14:textId="77777777" w:rsidR="00BB6E2B" w:rsidRDefault="00C62DEC">
      <w:pPr>
        <w:pStyle w:val="a6"/>
        <w:widowControl/>
        <w:numPr>
          <w:ilvl w:val="0"/>
          <w:numId w:val="1"/>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全面的数据覆盖与质量</w:t>
      </w:r>
    </w:p>
    <w:p w14:paraId="42FEA88A" w14:textId="77777777" w:rsidR="00BB6E2B" w:rsidRDefault="00C62DEC">
      <w:pPr>
        <w:pStyle w:val="a6"/>
        <w:widowControl/>
        <w:numPr>
          <w:ilvl w:val="0"/>
          <w:numId w:val="2"/>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数据来源：源自</w:t>
      </w:r>
      <w:r>
        <w:rPr>
          <w:rFonts w:ascii="华文楷体" w:eastAsia="华文楷体" w:hAnsi="华文楷体" w:cs="华文楷体" w:hint="eastAsia"/>
          <w:b/>
          <w:bCs/>
          <w:color w:val="FF0000"/>
          <w:spacing w:val="5"/>
          <w:shd w:val="clear" w:color="auto" w:fill="FFFFFF"/>
        </w:rPr>
        <w:t>200</w:t>
      </w:r>
      <w:r>
        <w:rPr>
          <w:rFonts w:ascii="华文楷体" w:eastAsia="华文楷体" w:hAnsi="华文楷体" w:cs="华文楷体" w:hint="eastAsia"/>
          <w:b/>
          <w:bCs/>
          <w:color w:val="FF0000"/>
          <w:spacing w:val="5"/>
          <w:shd w:val="clear" w:color="auto" w:fill="FFFFFF"/>
        </w:rPr>
        <w:t>个国</w:t>
      </w:r>
      <w:r>
        <w:rPr>
          <w:rFonts w:ascii="华文楷体" w:eastAsia="华文楷体" w:hAnsi="华文楷体" w:cs="华文楷体" w:hint="eastAsia"/>
          <w:b/>
          <w:bCs/>
          <w:color w:val="FF0000"/>
          <w:spacing w:val="5"/>
          <w:shd w:val="clear" w:color="auto" w:fill="FFFFFF"/>
        </w:rPr>
        <w:t>家</w:t>
      </w:r>
      <w:r>
        <w:rPr>
          <w:rFonts w:ascii="华文楷体" w:eastAsia="华文楷体" w:hAnsi="华文楷体" w:cs="华文楷体" w:hint="eastAsia"/>
          <w:b/>
          <w:bCs/>
          <w:color w:val="FF0000"/>
          <w:spacing w:val="5"/>
          <w:shd w:val="clear" w:color="auto" w:fill="FFFFFF"/>
        </w:rPr>
        <w:t>/</w:t>
      </w:r>
      <w:r>
        <w:rPr>
          <w:rFonts w:ascii="华文楷体" w:eastAsia="华文楷体" w:hAnsi="华文楷体" w:cs="华文楷体" w:hint="eastAsia"/>
          <w:b/>
          <w:bCs/>
          <w:color w:val="FF0000"/>
          <w:spacing w:val="5"/>
          <w:shd w:val="clear" w:color="auto" w:fill="FFFFFF"/>
        </w:rPr>
        <w:t>经济体</w:t>
      </w:r>
      <w:r>
        <w:rPr>
          <w:rFonts w:ascii="华文楷体" w:eastAsia="华文楷体" w:hAnsi="华文楷体" w:cs="华文楷体" w:hint="eastAsia"/>
          <w:spacing w:val="5"/>
          <w:shd w:val="clear" w:color="auto" w:fill="FFFFFF"/>
        </w:rPr>
        <w:t>官方</w:t>
      </w:r>
      <w:r>
        <w:rPr>
          <w:rFonts w:ascii="华文楷体" w:eastAsia="华文楷体" w:hAnsi="华文楷体" w:cs="华文楷体" w:hint="eastAsia"/>
          <w:spacing w:val="5"/>
          <w:shd w:val="clear" w:color="auto" w:fill="FFFFFF"/>
        </w:rPr>
        <w:t>贸易</w:t>
      </w:r>
      <w:r>
        <w:rPr>
          <w:rFonts w:ascii="华文楷体" w:eastAsia="华文楷体" w:hAnsi="华文楷体" w:cs="华文楷体" w:hint="eastAsia"/>
          <w:spacing w:val="5"/>
          <w:shd w:val="clear" w:color="auto" w:fill="FFFFFF"/>
        </w:rPr>
        <w:t>统计机构，</w:t>
      </w:r>
      <w:r>
        <w:rPr>
          <w:rFonts w:ascii="华文楷体" w:eastAsia="华文楷体" w:hAnsi="华文楷体" w:cs="华文楷体" w:hint="eastAsia"/>
          <w:spacing w:val="5"/>
          <w:shd w:val="clear" w:color="auto" w:fill="FFFFFF"/>
        </w:rPr>
        <w:t>覆盖</w:t>
      </w:r>
      <w:r>
        <w:rPr>
          <w:rFonts w:ascii="华文楷体" w:eastAsia="华文楷体" w:hAnsi="华文楷体" w:cs="华文楷体" w:hint="eastAsia"/>
          <w:spacing w:val="5"/>
          <w:shd w:val="clear" w:color="auto" w:fill="FFFFFF"/>
        </w:rPr>
        <w:t>205</w:t>
      </w:r>
      <w:r>
        <w:rPr>
          <w:rFonts w:ascii="华文楷体" w:eastAsia="华文楷体" w:hAnsi="华文楷体" w:cs="华文楷体" w:hint="eastAsia"/>
          <w:spacing w:val="5"/>
          <w:shd w:val="clear" w:color="auto" w:fill="FFFFFF"/>
        </w:rPr>
        <w:t>个国家和地区，</w:t>
      </w:r>
      <w:r>
        <w:rPr>
          <w:rFonts w:ascii="华文楷体" w:eastAsia="华文楷体" w:hAnsi="华文楷体" w:cs="华文楷体" w:hint="eastAsia"/>
          <w:spacing w:val="5"/>
          <w:shd w:val="clear" w:color="auto" w:fill="FFFFFF"/>
        </w:rPr>
        <w:t>涵盖世贸组织所有成员国和观察员国。</w:t>
      </w:r>
      <w:r>
        <w:rPr>
          <w:rFonts w:ascii="华文楷体" w:eastAsia="华文楷体" w:hAnsi="华文楷体" w:cs="华文楷体" w:hint="eastAsia"/>
          <w:color w:val="000000"/>
          <w:szCs w:val="22"/>
        </w:rPr>
        <w:t>数据为每个国家</w:t>
      </w:r>
      <w:r>
        <w:rPr>
          <w:rFonts w:ascii="华文楷体" w:eastAsia="华文楷体" w:hAnsi="华文楷体" w:cs="华文楷体" w:hint="eastAsia"/>
          <w:color w:val="000000"/>
          <w:szCs w:val="22"/>
        </w:rPr>
        <w:t>/</w:t>
      </w:r>
      <w:r>
        <w:rPr>
          <w:rFonts w:ascii="华文楷体" w:eastAsia="华文楷体" w:hAnsi="华文楷体" w:cs="华文楷体" w:hint="eastAsia"/>
          <w:color w:val="000000"/>
          <w:szCs w:val="22"/>
        </w:rPr>
        <w:t>地区的官方统计数据并注明数据来源</w:t>
      </w:r>
      <w:r>
        <w:rPr>
          <w:rFonts w:ascii="华文楷体" w:eastAsia="华文楷体" w:hAnsi="华文楷体" w:cs="华文楷体" w:hint="eastAsia"/>
          <w:color w:val="000000"/>
          <w:szCs w:val="22"/>
        </w:rPr>
        <w:t>。</w:t>
      </w:r>
    </w:p>
    <w:p w14:paraId="3E948DA6" w14:textId="77777777" w:rsidR="00BB6E2B" w:rsidRDefault="00C62DEC">
      <w:pPr>
        <w:pStyle w:val="a6"/>
        <w:widowControl/>
        <w:numPr>
          <w:ilvl w:val="0"/>
          <w:numId w:val="2"/>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lastRenderedPageBreak/>
        <w:t>行政区划数据：</w:t>
      </w:r>
      <w:r>
        <w:rPr>
          <w:rFonts w:ascii="华文楷体" w:eastAsia="华文楷体" w:hAnsi="华文楷体" w:cs="华文楷体" w:hint="eastAsia"/>
          <w:b/>
          <w:bCs/>
          <w:color w:val="FF0000"/>
          <w:spacing w:val="5"/>
          <w:shd w:val="clear" w:color="auto" w:fill="FFFFFF"/>
        </w:rPr>
        <w:t>GTI</w:t>
      </w:r>
      <w:r>
        <w:rPr>
          <w:rFonts w:ascii="华文楷体" w:eastAsia="华文楷体" w:hAnsi="华文楷体" w:cs="华文楷体" w:hint="eastAsia"/>
          <w:b/>
          <w:bCs/>
          <w:color w:val="FF0000"/>
          <w:spacing w:val="5"/>
          <w:shd w:val="clear" w:color="auto" w:fill="FFFFFF"/>
        </w:rPr>
        <w:t>系统将会搭载全球</w:t>
      </w:r>
      <w:r>
        <w:rPr>
          <w:rFonts w:ascii="华文楷体" w:eastAsia="华文楷体" w:hAnsi="华文楷体" w:cs="华文楷体" w:hint="eastAsia"/>
          <w:b/>
          <w:bCs/>
          <w:color w:val="FF0000"/>
          <w:spacing w:val="5"/>
          <w:shd w:val="clear" w:color="auto" w:fill="FFFFFF"/>
        </w:rPr>
        <w:t>18</w:t>
      </w:r>
      <w:r>
        <w:rPr>
          <w:rFonts w:ascii="华文楷体" w:eastAsia="华文楷体" w:hAnsi="华文楷体" w:cs="华文楷体" w:hint="eastAsia"/>
          <w:b/>
          <w:bCs/>
          <w:color w:val="FF0000"/>
          <w:spacing w:val="5"/>
          <w:shd w:val="clear" w:color="auto" w:fill="FFFFFF"/>
        </w:rPr>
        <w:t>个主要贸易国家或经济体的二级行政区划、省、州、关区所参与的国际货物贸易数据</w:t>
      </w:r>
      <w:r>
        <w:rPr>
          <w:rFonts w:ascii="华文楷体" w:eastAsia="华文楷体" w:hAnsi="华文楷体" w:cs="华文楷体" w:hint="eastAsia"/>
          <w:spacing w:val="5"/>
          <w:shd w:val="clear" w:color="auto" w:fill="FFFFFF"/>
        </w:rPr>
        <w:t>，例如中国的北京、美国的加利福尼亚、墨西哥的墨西哥城关区和德国的汉堡</w:t>
      </w:r>
      <w:r>
        <w:rPr>
          <w:rFonts w:ascii="华文楷体" w:eastAsia="华文楷体" w:hAnsi="华文楷体" w:cs="华文楷体" w:hint="eastAsia"/>
          <w:spacing w:val="5"/>
          <w:shd w:val="clear" w:color="auto" w:fill="FFFFFF"/>
        </w:rPr>
        <w:t>。</w:t>
      </w:r>
    </w:p>
    <w:p w14:paraId="640AF923" w14:textId="77777777" w:rsidR="00BB6E2B" w:rsidRDefault="00C62DEC">
      <w:pPr>
        <w:pStyle w:val="a6"/>
        <w:widowControl/>
        <w:numPr>
          <w:ilvl w:val="0"/>
          <w:numId w:val="2"/>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时间跨度：数据从</w:t>
      </w:r>
      <w:r>
        <w:rPr>
          <w:rFonts w:ascii="华文楷体" w:eastAsia="华文楷体" w:hAnsi="华文楷体" w:cs="华文楷体" w:hint="eastAsia"/>
          <w:spacing w:val="5"/>
          <w:shd w:val="clear" w:color="auto" w:fill="FFFFFF"/>
        </w:rPr>
        <w:t>20</w:t>
      </w:r>
      <w:r>
        <w:rPr>
          <w:rFonts w:ascii="华文楷体" w:eastAsia="华文楷体" w:hAnsi="华文楷体" w:cs="华文楷体" w:hint="eastAsia"/>
          <w:spacing w:val="5"/>
          <w:shd w:val="clear" w:color="auto" w:fill="FFFFFF"/>
        </w:rPr>
        <w:t>世纪直至</w:t>
      </w:r>
      <w:r>
        <w:rPr>
          <w:rFonts w:ascii="华文楷体" w:eastAsia="华文楷体" w:hAnsi="华文楷体" w:cs="华文楷体" w:hint="eastAsia"/>
          <w:spacing w:val="5"/>
          <w:shd w:val="clear" w:color="auto" w:fill="FFFFFF"/>
        </w:rPr>
        <w:t>2024</w:t>
      </w:r>
      <w:r>
        <w:rPr>
          <w:rFonts w:ascii="华文楷体" w:eastAsia="华文楷体" w:hAnsi="华文楷体" w:cs="华文楷体" w:hint="eastAsia"/>
          <w:spacing w:val="5"/>
          <w:shd w:val="clear" w:color="auto" w:fill="FFFFFF"/>
        </w:rPr>
        <w:t>年最新月度，时间颗粒度精确到月。</w:t>
      </w:r>
    </w:p>
    <w:p w14:paraId="140499C5" w14:textId="77777777" w:rsidR="00BB6E2B" w:rsidRDefault="00C62DEC">
      <w:pPr>
        <w:pStyle w:val="a6"/>
        <w:widowControl/>
        <w:numPr>
          <w:ilvl w:val="0"/>
          <w:numId w:val="2"/>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产品分类：</w:t>
      </w:r>
      <w:r>
        <w:rPr>
          <w:rFonts w:ascii="华文楷体" w:eastAsia="华文楷体" w:hAnsi="华文楷体" w:cs="华文楷体" w:hint="eastAsia"/>
          <w:spacing w:val="5"/>
          <w:shd w:val="clear" w:color="auto" w:fill="FFFFFF"/>
        </w:rPr>
        <w:t>HS</w:t>
      </w:r>
      <w:r>
        <w:rPr>
          <w:rFonts w:ascii="华文楷体" w:eastAsia="华文楷体" w:hAnsi="华文楷体" w:cs="华文楷体" w:hint="eastAsia"/>
          <w:spacing w:val="5"/>
          <w:shd w:val="clear" w:color="auto" w:fill="FFFFFF"/>
        </w:rPr>
        <w:t>编码全面，包括</w:t>
      </w:r>
      <w:r>
        <w:rPr>
          <w:rFonts w:ascii="华文楷体" w:eastAsia="华文楷体" w:hAnsi="华文楷体" w:cs="华文楷体" w:hint="eastAsia"/>
          <w:spacing w:val="5"/>
          <w:shd w:val="clear" w:color="auto" w:fill="FFFFFF"/>
        </w:rPr>
        <w:t>HS2</w:t>
      </w:r>
      <w:r>
        <w:rPr>
          <w:rFonts w:ascii="华文楷体" w:eastAsia="华文楷体" w:hAnsi="华文楷体" w:cs="华文楷体" w:hint="eastAsia"/>
          <w:spacing w:val="5"/>
          <w:shd w:val="clear" w:color="auto" w:fill="FFFFFF"/>
        </w:rPr>
        <w:t>、</w:t>
      </w:r>
      <w:r>
        <w:rPr>
          <w:rFonts w:ascii="华文楷体" w:eastAsia="华文楷体" w:hAnsi="华文楷体" w:cs="华文楷体" w:hint="eastAsia"/>
          <w:spacing w:val="5"/>
          <w:shd w:val="clear" w:color="auto" w:fill="FFFFFF"/>
        </w:rPr>
        <w:t>4</w:t>
      </w:r>
      <w:r>
        <w:rPr>
          <w:rFonts w:ascii="华文楷体" w:eastAsia="华文楷体" w:hAnsi="华文楷体" w:cs="华文楷体" w:hint="eastAsia"/>
          <w:spacing w:val="5"/>
          <w:shd w:val="clear" w:color="auto" w:fill="FFFFFF"/>
        </w:rPr>
        <w:t>、</w:t>
      </w:r>
      <w:r>
        <w:rPr>
          <w:rFonts w:ascii="华文楷体" w:eastAsia="华文楷体" w:hAnsi="华文楷体" w:cs="华文楷体" w:hint="eastAsia"/>
          <w:spacing w:val="5"/>
          <w:shd w:val="clear" w:color="auto" w:fill="FFFFFF"/>
        </w:rPr>
        <w:t>6</w:t>
      </w:r>
      <w:r>
        <w:rPr>
          <w:rFonts w:ascii="华文楷体" w:eastAsia="华文楷体" w:hAnsi="华文楷体" w:cs="华文楷体" w:hint="eastAsia"/>
          <w:spacing w:val="5"/>
          <w:shd w:val="clear" w:color="auto" w:fill="FFFFFF"/>
        </w:rPr>
        <w:t>及部分国家的</w:t>
      </w:r>
      <w:r>
        <w:rPr>
          <w:rFonts w:ascii="华文楷体" w:eastAsia="华文楷体" w:hAnsi="华文楷体" w:cs="华文楷体" w:hint="eastAsia"/>
          <w:spacing w:val="5"/>
          <w:shd w:val="clear" w:color="auto" w:fill="FFFFFF"/>
        </w:rPr>
        <w:t>HS8</w:t>
      </w:r>
      <w:r>
        <w:rPr>
          <w:rFonts w:ascii="华文楷体" w:eastAsia="华文楷体" w:hAnsi="华文楷体" w:cs="华文楷体" w:hint="eastAsia"/>
          <w:spacing w:val="5"/>
          <w:shd w:val="clear" w:color="auto" w:fill="FFFFFF"/>
        </w:rPr>
        <w:t>、</w:t>
      </w:r>
      <w:r>
        <w:rPr>
          <w:rFonts w:ascii="华文楷体" w:eastAsia="华文楷体" w:hAnsi="华文楷体" w:cs="华文楷体" w:hint="eastAsia"/>
          <w:spacing w:val="5"/>
          <w:shd w:val="clear" w:color="auto" w:fill="FFFFFF"/>
        </w:rPr>
        <w:t>HS10</w:t>
      </w:r>
      <w:r>
        <w:rPr>
          <w:rFonts w:ascii="华文楷体" w:eastAsia="华文楷体" w:hAnsi="华文楷体" w:cs="华文楷体" w:hint="eastAsia"/>
          <w:spacing w:val="5"/>
          <w:shd w:val="clear" w:color="auto" w:fill="FFFFFF"/>
        </w:rPr>
        <w:t>位编码。</w:t>
      </w:r>
    </w:p>
    <w:p w14:paraId="0F8BDD2E" w14:textId="77777777" w:rsidR="00BB6E2B" w:rsidRDefault="00C62DEC">
      <w:pPr>
        <w:pStyle w:val="a6"/>
        <w:widowControl/>
        <w:numPr>
          <w:ilvl w:val="0"/>
          <w:numId w:val="2"/>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数据内容：提供进出口金额、原始币种金额、数量、重量、价格、贸易方式、运输方式等全方位信息。</w:t>
      </w:r>
    </w:p>
    <w:p w14:paraId="03B0F38C" w14:textId="77777777" w:rsidR="00BB6E2B" w:rsidRDefault="00BB6E2B">
      <w:pPr>
        <w:pStyle w:val="a6"/>
        <w:widowControl/>
        <w:shd w:val="clear" w:color="auto" w:fill="FFFFFF"/>
        <w:spacing w:beforeAutospacing="0" w:afterAutospacing="0"/>
        <w:jc w:val="both"/>
        <w:rPr>
          <w:rFonts w:ascii="华文楷体" w:eastAsia="华文楷体" w:hAnsi="华文楷体" w:cs="华文楷体"/>
          <w:spacing w:val="5"/>
          <w:shd w:val="clear" w:color="auto" w:fill="FFFFFF"/>
        </w:rPr>
      </w:pPr>
    </w:p>
    <w:p w14:paraId="367C006D" w14:textId="77777777" w:rsidR="00BB6E2B" w:rsidRDefault="00C62DEC">
      <w:pPr>
        <w:pStyle w:val="a6"/>
        <w:widowControl/>
        <w:numPr>
          <w:ilvl w:val="0"/>
          <w:numId w:val="1"/>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创新数据处理技术</w:t>
      </w:r>
    </w:p>
    <w:p w14:paraId="4E2922C6" w14:textId="77777777" w:rsidR="00BB6E2B" w:rsidRDefault="00C62DEC">
      <w:pPr>
        <w:pStyle w:val="a6"/>
        <w:widowControl/>
        <w:numPr>
          <w:ilvl w:val="0"/>
          <w:numId w:val="3"/>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对称运算矩阵：</w:t>
      </w:r>
      <w:r>
        <w:rPr>
          <w:rFonts w:ascii="华文楷体" w:eastAsia="华文楷体" w:hAnsi="华文楷体" w:cs="华文楷体" w:hint="eastAsia"/>
          <w:spacing w:val="5"/>
          <w:shd w:val="clear" w:color="auto" w:fill="FFFFFF"/>
        </w:rPr>
        <w:t>GTI</w:t>
      </w:r>
      <w:r>
        <w:rPr>
          <w:rFonts w:ascii="华文楷体" w:eastAsia="华文楷体" w:hAnsi="华文楷体" w:cs="华文楷体" w:hint="eastAsia"/>
          <w:spacing w:val="5"/>
          <w:shd w:val="clear" w:color="auto" w:fill="FFFFFF"/>
        </w:rPr>
        <w:t>系统全球首创国际贸易统计数据对称运算矩阵，在百分</w:t>
      </w:r>
      <w:proofErr w:type="gramStart"/>
      <w:r>
        <w:rPr>
          <w:rFonts w:ascii="华文楷体" w:eastAsia="华文楷体" w:hAnsi="华文楷体" w:cs="华文楷体" w:hint="eastAsia"/>
          <w:spacing w:val="5"/>
          <w:shd w:val="clear" w:color="auto" w:fill="FFFFFF"/>
        </w:rPr>
        <w:t>百保证</w:t>
      </w:r>
      <w:proofErr w:type="gramEnd"/>
      <w:r>
        <w:rPr>
          <w:rFonts w:ascii="华文楷体" w:eastAsia="华文楷体" w:hAnsi="华文楷体" w:cs="华文楷体" w:hint="eastAsia"/>
          <w:spacing w:val="5"/>
          <w:shd w:val="clear" w:color="auto" w:fill="FFFFFF"/>
        </w:rPr>
        <w:t>来自各国官方统计机构报告的国际货物贸易统计数据准确无误的前提下，利用年月分隔不对称镜像法对数据中某国</w:t>
      </w:r>
      <w:r>
        <w:rPr>
          <w:rFonts w:ascii="华文楷体" w:eastAsia="华文楷体" w:hAnsi="华文楷体" w:cs="华文楷体" w:hint="eastAsia"/>
          <w:spacing w:val="5"/>
          <w:shd w:val="clear" w:color="auto" w:fill="FFFFFF"/>
        </w:rPr>
        <w:t>/</w:t>
      </w:r>
      <w:r>
        <w:rPr>
          <w:rFonts w:ascii="华文楷体" w:eastAsia="华文楷体" w:hAnsi="华文楷体" w:cs="华文楷体" w:hint="eastAsia"/>
          <w:spacing w:val="5"/>
          <w:shd w:val="clear" w:color="auto" w:fill="FFFFFF"/>
        </w:rPr>
        <w:t>经济体在某时间段内缺失的数据进行填补（这种缺失主要源于各国对货物贸易的统计速度差异），</w:t>
      </w:r>
      <w:r>
        <w:rPr>
          <w:rFonts w:ascii="华文楷体" w:eastAsia="华文楷体" w:hAnsi="华文楷体" w:cs="华文楷体" w:hint="eastAsia"/>
          <w:b/>
          <w:bCs/>
          <w:color w:val="FF0000"/>
          <w:spacing w:val="5"/>
          <w:shd w:val="clear" w:color="auto" w:fill="FFFFFF"/>
        </w:rPr>
        <w:t>形成了全球第一个可将</w:t>
      </w:r>
      <w:r>
        <w:rPr>
          <w:rFonts w:ascii="华文楷体" w:eastAsia="华文楷体" w:hAnsi="华文楷体" w:cs="华文楷体" w:hint="eastAsia"/>
          <w:b/>
          <w:bCs/>
          <w:color w:val="FF0000"/>
          <w:spacing w:val="5"/>
          <w:shd w:val="clear" w:color="auto" w:fill="FFFFFF"/>
        </w:rPr>
        <w:t>200</w:t>
      </w:r>
      <w:r>
        <w:rPr>
          <w:rFonts w:ascii="华文楷体" w:eastAsia="华文楷体" w:hAnsi="华文楷体" w:cs="华文楷体" w:hint="eastAsia"/>
          <w:b/>
          <w:bCs/>
          <w:color w:val="FF0000"/>
          <w:spacing w:val="5"/>
          <w:shd w:val="clear" w:color="auto" w:fill="FFFFFF"/>
        </w:rPr>
        <w:t>个以上经济体的国际货物贸易统计数据统一更新至当前时间</w:t>
      </w:r>
      <w:proofErr w:type="gramStart"/>
      <w:r>
        <w:rPr>
          <w:rFonts w:ascii="华文楷体" w:eastAsia="华文楷体" w:hAnsi="华文楷体" w:cs="华文楷体" w:hint="eastAsia"/>
          <w:b/>
          <w:bCs/>
          <w:color w:val="FF0000"/>
          <w:spacing w:val="5"/>
          <w:shd w:val="clear" w:color="auto" w:fill="FFFFFF"/>
        </w:rPr>
        <w:t>前两月</w:t>
      </w:r>
      <w:proofErr w:type="gramEnd"/>
      <w:r>
        <w:rPr>
          <w:rFonts w:ascii="华文楷体" w:eastAsia="华文楷体" w:hAnsi="华文楷体" w:cs="华文楷体" w:hint="eastAsia"/>
          <w:b/>
          <w:bCs/>
          <w:color w:val="FF0000"/>
          <w:spacing w:val="5"/>
          <w:shd w:val="clear" w:color="auto" w:fill="FFFFFF"/>
        </w:rPr>
        <w:t>的数据分析系统</w:t>
      </w:r>
      <w:r>
        <w:rPr>
          <w:rFonts w:ascii="华文楷体" w:eastAsia="华文楷体" w:hAnsi="华文楷体" w:cs="华文楷体" w:hint="eastAsia"/>
          <w:spacing w:val="5"/>
          <w:shd w:val="clear" w:color="auto" w:fill="FFFFFF"/>
        </w:rPr>
        <w:t>。并且针对与一些在全球范围内都无法获取公开数据的国家，此数据矩阵也可形成对其有效的数据获取和分析。</w:t>
      </w:r>
    </w:p>
    <w:p w14:paraId="1B27E338" w14:textId="77777777" w:rsidR="00BB6E2B" w:rsidRDefault="00BB6E2B">
      <w:pPr>
        <w:pStyle w:val="a6"/>
        <w:widowControl/>
        <w:shd w:val="clear" w:color="auto" w:fill="FFFFFF"/>
        <w:spacing w:beforeAutospacing="0" w:afterAutospacing="0"/>
        <w:jc w:val="both"/>
        <w:rPr>
          <w:rFonts w:ascii="华文楷体" w:eastAsia="华文楷体" w:hAnsi="华文楷体" w:cs="华文楷体"/>
          <w:spacing w:val="5"/>
          <w:shd w:val="clear" w:color="auto" w:fill="FFFFFF"/>
        </w:rPr>
      </w:pPr>
    </w:p>
    <w:p w14:paraId="6444944A" w14:textId="77777777" w:rsidR="00BB6E2B" w:rsidRDefault="00C62DEC">
      <w:pPr>
        <w:pStyle w:val="a6"/>
        <w:widowControl/>
        <w:numPr>
          <w:ilvl w:val="0"/>
          <w:numId w:val="1"/>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国际贸易可视化实验室</w:t>
      </w:r>
    </w:p>
    <w:p w14:paraId="35F9B685" w14:textId="77777777" w:rsidR="00BB6E2B" w:rsidRDefault="00C62DEC">
      <w:pPr>
        <w:pStyle w:val="a6"/>
        <w:widowControl/>
        <w:numPr>
          <w:ilvl w:val="0"/>
          <w:numId w:val="4"/>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深度分析工具：</w:t>
      </w:r>
      <w:r>
        <w:rPr>
          <w:rFonts w:ascii="华文楷体" w:eastAsia="华文楷体" w:hAnsi="华文楷体" w:cs="华文楷体" w:hint="eastAsia"/>
          <w:spacing w:val="5"/>
          <w:shd w:val="clear" w:color="auto" w:fill="FFFFFF"/>
        </w:rPr>
        <w:t>GTI</w:t>
      </w:r>
      <w:r>
        <w:rPr>
          <w:rFonts w:ascii="华文楷体" w:eastAsia="华文楷体" w:hAnsi="华文楷体" w:cs="华文楷体" w:hint="eastAsia"/>
          <w:spacing w:val="5"/>
          <w:shd w:val="clear" w:color="auto" w:fill="FFFFFF"/>
        </w:rPr>
        <w:t>系统模块</w:t>
      </w:r>
      <w:r>
        <w:rPr>
          <w:rFonts w:ascii="华文楷体" w:eastAsia="华文楷体" w:hAnsi="华文楷体" w:cs="华文楷体" w:hint="eastAsia"/>
          <w:spacing w:val="5"/>
          <w:shd w:val="clear" w:color="auto" w:fill="FFFFFF"/>
        </w:rPr>
        <w:t>国际贸易可视化实验室可提供对贸易数据的深入挖掘，通过可视化实验提供的上百种分析问题框架（例如：“中国在</w:t>
      </w:r>
      <w:r>
        <w:rPr>
          <w:rFonts w:ascii="华文楷体" w:eastAsia="华文楷体" w:hAnsi="华文楷体" w:cs="华文楷体" w:hint="eastAsia"/>
          <w:spacing w:val="5"/>
          <w:shd w:val="clear" w:color="auto" w:fill="FFFFFF"/>
        </w:rPr>
        <w:lastRenderedPageBreak/>
        <w:t>APEC</w:t>
      </w:r>
      <w:r>
        <w:rPr>
          <w:rFonts w:ascii="华文楷体" w:eastAsia="华文楷体" w:hAnsi="华文楷体" w:cs="华文楷体" w:hint="eastAsia"/>
          <w:spacing w:val="5"/>
          <w:shd w:val="clear" w:color="auto" w:fill="FFFFFF"/>
        </w:rPr>
        <w:t>国家内的进口来源国分布变化”、日本向哪些国家（地区）出口扣式碱性锌锰原电池？</w:t>
      </w:r>
      <w:proofErr w:type="gramStart"/>
      <w:r>
        <w:rPr>
          <w:rFonts w:ascii="华文楷体" w:eastAsia="华文楷体" w:hAnsi="华文楷体" w:cs="华文楷体" w:hint="eastAsia"/>
          <w:spacing w:val="5"/>
          <w:shd w:val="clear" w:color="auto" w:fill="FFFFFF"/>
        </w:rPr>
        <w:t>”</w:t>
      </w:r>
      <w:proofErr w:type="gramEnd"/>
      <w:r>
        <w:rPr>
          <w:rFonts w:ascii="华文楷体" w:eastAsia="华文楷体" w:hAnsi="华文楷体" w:cs="华文楷体" w:hint="eastAsia"/>
          <w:spacing w:val="5"/>
          <w:shd w:val="clear" w:color="auto" w:fill="FFFFFF"/>
        </w:rPr>
        <w:t>、“中国有哪些省份自阿盟</w:t>
      </w:r>
      <w:r>
        <w:rPr>
          <w:rFonts w:ascii="华文楷体" w:eastAsia="华文楷体" w:hAnsi="华文楷体" w:cs="华文楷体" w:hint="eastAsia"/>
          <w:spacing w:val="5"/>
          <w:shd w:val="clear" w:color="auto" w:fill="FFFFFF"/>
        </w:rPr>
        <w:t>22</w:t>
      </w:r>
      <w:r>
        <w:rPr>
          <w:rFonts w:ascii="华文楷体" w:eastAsia="华文楷体" w:hAnsi="华文楷体" w:cs="华文楷体" w:hint="eastAsia"/>
          <w:spacing w:val="5"/>
          <w:shd w:val="clear" w:color="auto" w:fill="FFFFFF"/>
        </w:rPr>
        <w:t>国进口？”）</w:t>
      </w:r>
    </w:p>
    <w:p w14:paraId="47DBEBC6" w14:textId="77777777" w:rsidR="00BB6E2B" w:rsidRDefault="00C62DEC">
      <w:pPr>
        <w:pStyle w:val="a6"/>
        <w:widowControl/>
        <w:numPr>
          <w:ilvl w:val="0"/>
          <w:numId w:val="4"/>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可视化定制：丰富的统计方法和多样可视化分析功能，用户可以在国际贸易可视化实验室自由地构建数百万个自定义可视化效果，一键对比多条贸易流向在长时间序列中的增长与下降趋势，从各个角度深度探索国际贸易统计数据。</w:t>
      </w:r>
    </w:p>
    <w:p w14:paraId="5AF0F481" w14:textId="77777777" w:rsidR="00BB6E2B" w:rsidRDefault="00BB6E2B">
      <w:pPr>
        <w:pStyle w:val="a6"/>
        <w:widowControl/>
        <w:shd w:val="clear" w:color="auto" w:fill="FFFFFF"/>
        <w:spacing w:beforeAutospacing="0" w:afterAutospacing="0"/>
        <w:jc w:val="both"/>
        <w:rPr>
          <w:rFonts w:ascii="华文楷体" w:eastAsia="华文楷体" w:hAnsi="华文楷体" w:cs="华文楷体"/>
          <w:spacing w:val="5"/>
          <w:shd w:val="clear" w:color="auto" w:fill="FFFFFF"/>
        </w:rPr>
      </w:pPr>
    </w:p>
    <w:p w14:paraId="68E0D014" w14:textId="77777777" w:rsidR="00BB6E2B" w:rsidRDefault="00C62DEC">
      <w:pPr>
        <w:pStyle w:val="a6"/>
        <w:widowControl/>
        <w:numPr>
          <w:ilvl w:val="0"/>
          <w:numId w:val="1"/>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数据中心服务</w:t>
      </w:r>
    </w:p>
    <w:p w14:paraId="139B7998" w14:textId="77777777" w:rsidR="00BB6E2B" w:rsidRDefault="00C62DEC">
      <w:pPr>
        <w:pStyle w:val="a6"/>
        <w:widowControl/>
        <w:numPr>
          <w:ilvl w:val="0"/>
          <w:numId w:val="5"/>
        </w:numPr>
        <w:shd w:val="clear" w:color="auto" w:fill="FFFFFF"/>
        <w:spacing w:beforeAutospacing="0" w:afterAutospacing="0"/>
        <w:jc w:val="both"/>
        <w:rPr>
          <w:rFonts w:ascii="华文楷体" w:eastAsia="华文楷体" w:hAnsi="华文楷体" w:cs="华文楷体"/>
        </w:rPr>
      </w:pPr>
      <w:r>
        <w:rPr>
          <w:rFonts w:ascii="华文楷体" w:eastAsia="华文楷体" w:hAnsi="华文楷体" w:cs="华文楷体" w:hint="eastAsia"/>
        </w:rPr>
        <w:t>全面预设分析指数：</w:t>
      </w:r>
      <w:r>
        <w:rPr>
          <w:rFonts w:ascii="华文楷体" w:eastAsia="华文楷体" w:hAnsi="华文楷体" w:cs="华文楷体" w:hint="eastAsia"/>
        </w:rPr>
        <w:t>GTI</w:t>
      </w:r>
      <w:r>
        <w:rPr>
          <w:rFonts w:ascii="华文楷体" w:eastAsia="华文楷体" w:hAnsi="华文楷体" w:cs="华文楷体" w:hint="eastAsia"/>
        </w:rPr>
        <w:t>系统的数据中心提供丰富的预设分析指数，包括进出口额、进出口净额、同环比、占比、数量和数量单位等，用户可以方便地下载多达数十种不同维度的</w:t>
      </w:r>
      <w:r>
        <w:rPr>
          <w:rFonts w:ascii="华文楷体" w:eastAsia="华文楷体" w:hAnsi="华文楷体" w:cs="华文楷体" w:hint="eastAsia"/>
        </w:rPr>
        <w:t>CSV</w:t>
      </w:r>
      <w:r>
        <w:rPr>
          <w:rFonts w:ascii="华文楷体" w:eastAsia="华文楷体" w:hAnsi="华文楷体" w:cs="华文楷体" w:hint="eastAsia"/>
        </w:rPr>
        <w:t>、</w:t>
      </w:r>
      <w:r>
        <w:rPr>
          <w:rFonts w:ascii="华文楷体" w:eastAsia="华文楷体" w:hAnsi="华文楷体" w:cs="华文楷体" w:hint="eastAsia"/>
        </w:rPr>
        <w:t>EXCEL</w:t>
      </w:r>
      <w:r>
        <w:rPr>
          <w:rFonts w:ascii="华文楷体" w:eastAsia="华文楷体" w:hAnsi="华文楷体" w:cs="华文楷体" w:hint="eastAsia"/>
        </w:rPr>
        <w:t>或</w:t>
      </w:r>
      <w:r>
        <w:rPr>
          <w:rFonts w:ascii="华文楷体" w:eastAsia="华文楷体" w:hAnsi="华文楷体" w:cs="华文楷体" w:hint="eastAsia"/>
        </w:rPr>
        <w:t>JSON</w:t>
      </w:r>
      <w:r>
        <w:rPr>
          <w:rFonts w:ascii="华文楷体" w:eastAsia="华文楷体" w:hAnsi="华文楷体" w:cs="华文楷体" w:hint="eastAsia"/>
        </w:rPr>
        <w:t>数据集，便于定制化研究。</w:t>
      </w:r>
    </w:p>
    <w:p w14:paraId="4E946607" w14:textId="77777777" w:rsidR="00BB6E2B" w:rsidRDefault="00C62DEC">
      <w:pPr>
        <w:pStyle w:val="a6"/>
        <w:widowControl/>
        <w:numPr>
          <w:ilvl w:val="0"/>
          <w:numId w:val="5"/>
        </w:numPr>
        <w:shd w:val="clear" w:color="auto" w:fill="FFFFFF"/>
        <w:spacing w:beforeAutospacing="0" w:afterAutospacing="0"/>
        <w:jc w:val="both"/>
        <w:rPr>
          <w:rFonts w:ascii="华文楷体" w:eastAsia="华文楷体" w:hAnsi="华文楷体" w:cs="华文楷体"/>
        </w:rPr>
      </w:pPr>
      <w:r>
        <w:rPr>
          <w:rFonts w:ascii="华文楷体" w:eastAsia="华文楷体" w:hAnsi="华文楷体" w:cs="华文楷体" w:hint="eastAsia"/>
        </w:rPr>
        <w:t>灵活的数据分解功能：用户在数据中心可以深入分析国际货物贸易，进行产品构成和贸易伙伴构成的多层次分解。通过对自定义的行、列和筛选条件进行组合，用户可以展示和下载长达</w:t>
      </w:r>
      <w:r>
        <w:rPr>
          <w:rFonts w:ascii="华文楷体" w:eastAsia="华文楷体" w:hAnsi="华文楷体" w:cs="华文楷体" w:hint="eastAsia"/>
        </w:rPr>
        <w:t>10</w:t>
      </w:r>
      <w:r>
        <w:rPr>
          <w:rFonts w:ascii="华文楷体" w:eastAsia="华文楷体" w:hAnsi="华文楷体" w:cs="华文楷体" w:hint="eastAsia"/>
        </w:rPr>
        <w:t>年以上的时间序列数据，这为洞察贸易模式变化提供了强大的支持。</w:t>
      </w:r>
    </w:p>
    <w:p w14:paraId="2E1B0205" w14:textId="77777777" w:rsidR="00BB6E2B" w:rsidRDefault="00C62DEC">
      <w:pPr>
        <w:pStyle w:val="a6"/>
        <w:widowControl/>
        <w:numPr>
          <w:ilvl w:val="0"/>
          <w:numId w:val="5"/>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rPr>
        <w:t>高效大型数据处理：数据中心不仅支持大规模数据处理，能够快速下载</w:t>
      </w:r>
      <w:r>
        <w:rPr>
          <w:rFonts w:ascii="华文楷体" w:eastAsia="华文楷体" w:hAnsi="华文楷体" w:cs="华文楷体" w:hint="eastAsia"/>
        </w:rPr>
        <w:t>10</w:t>
      </w:r>
      <w:r>
        <w:rPr>
          <w:rFonts w:ascii="华文楷体" w:eastAsia="华文楷体" w:hAnsi="华文楷体" w:cs="华文楷体" w:hint="eastAsia"/>
        </w:rPr>
        <w:t>万级的</w:t>
      </w:r>
      <w:r>
        <w:rPr>
          <w:rFonts w:ascii="华文楷体" w:eastAsia="华文楷体" w:hAnsi="华文楷体" w:cs="华文楷体" w:hint="eastAsia"/>
        </w:rPr>
        <w:t>大型原始数据集，确保用户在处理大量复杂数据时，也能享受到快速响应和流畅的分析体验。</w:t>
      </w:r>
    </w:p>
    <w:p w14:paraId="5D294DBC" w14:textId="77777777" w:rsidR="00BB6E2B" w:rsidRDefault="00BB6E2B">
      <w:pPr>
        <w:pStyle w:val="a6"/>
        <w:widowControl/>
        <w:shd w:val="clear" w:color="auto" w:fill="FFFFFF"/>
        <w:spacing w:beforeAutospacing="0" w:afterAutospacing="0"/>
        <w:jc w:val="both"/>
        <w:rPr>
          <w:rFonts w:ascii="华文楷体" w:eastAsia="华文楷体" w:hAnsi="华文楷体" w:cs="华文楷体"/>
          <w:spacing w:val="5"/>
          <w:shd w:val="clear" w:color="auto" w:fill="FFFFFF"/>
        </w:rPr>
      </w:pPr>
    </w:p>
    <w:p w14:paraId="14980FEC" w14:textId="77777777" w:rsidR="00BB6E2B" w:rsidRDefault="00C62DEC">
      <w:pPr>
        <w:pStyle w:val="a6"/>
        <w:widowControl/>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六、自定义控制台与管理</w:t>
      </w:r>
    </w:p>
    <w:p w14:paraId="28A7966B" w14:textId="77777777" w:rsidR="00BB6E2B" w:rsidRDefault="00C62DEC">
      <w:pPr>
        <w:pStyle w:val="a6"/>
        <w:widowControl/>
        <w:numPr>
          <w:ilvl w:val="0"/>
          <w:numId w:val="6"/>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lastRenderedPageBreak/>
        <w:t>自定义分析功能：</w:t>
      </w:r>
      <w:r>
        <w:rPr>
          <w:rFonts w:ascii="华文楷体" w:eastAsia="华文楷体" w:hAnsi="华文楷体" w:cs="华文楷体" w:hint="eastAsia"/>
          <w:spacing w:val="5"/>
          <w:shd w:val="clear" w:color="auto" w:fill="FFFFFF"/>
        </w:rPr>
        <w:t>GTI</w:t>
      </w:r>
      <w:r>
        <w:rPr>
          <w:rFonts w:ascii="华文楷体" w:eastAsia="华文楷体" w:hAnsi="华文楷体" w:cs="华文楷体" w:hint="eastAsia"/>
          <w:spacing w:val="5"/>
          <w:shd w:val="clear" w:color="auto" w:fill="FFFFFF"/>
        </w:rPr>
        <w:t>系统拥有强大的自定义控制台</w:t>
      </w:r>
      <w:r>
        <w:rPr>
          <w:rFonts w:ascii="华文楷体" w:eastAsia="华文楷体" w:hAnsi="华文楷体" w:cs="华文楷体" w:hint="eastAsia"/>
          <w:spacing w:val="5"/>
          <w:shd w:val="clear" w:color="auto" w:fill="FFFFFF"/>
        </w:rPr>
        <w:t>，</w:t>
      </w:r>
      <w:r>
        <w:rPr>
          <w:rFonts w:ascii="华文楷体" w:eastAsia="华文楷体" w:hAnsi="华文楷体" w:cs="华文楷体" w:hint="eastAsia"/>
          <w:b/>
          <w:bCs/>
          <w:color w:val="FF0000"/>
          <w:spacing w:val="5"/>
          <w:shd w:val="clear" w:color="auto" w:fill="FFFFFF"/>
        </w:rPr>
        <w:t>自带</w:t>
      </w:r>
      <w:r>
        <w:rPr>
          <w:rFonts w:ascii="华文楷体" w:eastAsia="华文楷体" w:hAnsi="华文楷体" w:cs="华文楷体" w:hint="eastAsia"/>
          <w:b/>
          <w:bCs/>
          <w:color w:val="FF0000"/>
          <w:spacing w:val="5"/>
          <w:shd w:val="clear" w:color="auto" w:fill="FFFFFF"/>
        </w:rPr>
        <w:t>1024</w:t>
      </w:r>
      <w:r>
        <w:rPr>
          <w:rFonts w:ascii="华文楷体" w:eastAsia="华文楷体" w:hAnsi="华文楷体" w:cs="华文楷体" w:hint="eastAsia"/>
          <w:b/>
          <w:bCs/>
          <w:color w:val="FF0000"/>
          <w:spacing w:val="5"/>
          <w:shd w:val="clear" w:color="auto" w:fill="FFFFFF"/>
        </w:rPr>
        <w:t>个国际产品分类，比如联合国中间品，美国先进技术分类，以及</w:t>
      </w:r>
      <w:r>
        <w:rPr>
          <w:rFonts w:ascii="华文楷体" w:eastAsia="华文楷体" w:hAnsi="华文楷体" w:cs="华文楷体" w:hint="eastAsia"/>
          <w:b/>
          <w:bCs/>
          <w:color w:val="FF0000"/>
          <w:spacing w:val="5"/>
          <w:shd w:val="clear" w:color="auto" w:fill="FFFFFF"/>
        </w:rPr>
        <w:t>68</w:t>
      </w:r>
      <w:r>
        <w:rPr>
          <w:rFonts w:ascii="华文楷体" w:eastAsia="华文楷体" w:hAnsi="华文楷体" w:cs="华文楷体" w:hint="eastAsia"/>
          <w:b/>
          <w:bCs/>
          <w:color w:val="FF0000"/>
          <w:spacing w:val="5"/>
          <w:shd w:val="clear" w:color="auto" w:fill="FFFFFF"/>
        </w:rPr>
        <w:t>个国家组分类，比如一带</w:t>
      </w:r>
      <w:proofErr w:type="gramStart"/>
      <w:r>
        <w:rPr>
          <w:rFonts w:ascii="华文楷体" w:eastAsia="华文楷体" w:hAnsi="华文楷体" w:cs="华文楷体" w:hint="eastAsia"/>
          <w:b/>
          <w:bCs/>
          <w:color w:val="FF0000"/>
          <w:spacing w:val="5"/>
          <w:shd w:val="clear" w:color="auto" w:fill="FFFFFF"/>
        </w:rPr>
        <w:t>一路国家</w:t>
      </w:r>
      <w:proofErr w:type="gramEnd"/>
      <w:r>
        <w:rPr>
          <w:rFonts w:ascii="华文楷体" w:eastAsia="华文楷体" w:hAnsi="华文楷体" w:cs="华文楷体" w:hint="eastAsia"/>
          <w:b/>
          <w:bCs/>
          <w:color w:val="FF0000"/>
          <w:spacing w:val="5"/>
          <w:shd w:val="clear" w:color="auto" w:fill="FFFFFF"/>
        </w:rPr>
        <w:t>组，</w:t>
      </w:r>
      <w:r>
        <w:rPr>
          <w:rFonts w:ascii="华文楷体" w:eastAsia="华文楷体" w:hAnsi="华文楷体" w:cs="华文楷体" w:hint="eastAsia"/>
          <w:b/>
          <w:bCs/>
          <w:color w:val="FF0000"/>
          <w:spacing w:val="5"/>
          <w:shd w:val="clear" w:color="auto" w:fill="FFFFFF"/>
        </w:rPr>
        <w:t>RCEP</w:t>
      </w:r>
      <w:r>
        <w:rPr>
          <w:rFonts w:ascii="华文楷体" w:eastAsia="华文楷体" w:hAnsi="华文楷体" w:cs="华文楷体" w:hint="eastAsia"/>
          <w:b/>
          <w:bCs/>
          <w:color w:val="FF0000"/>
          <w:spacing w:val="5"/>
          <w:shd w:val="clear" w:color="auto" w:fill="FFFFFF"/>
        </w:rPr>
        <w:t>国家组；</w:t>
      </w:r>
      <w:r>
        <w:rPr>
          <w:rFonts w:ascii="华文楷体" w:eastAsia="华文楷体" w:hAnsi="华文楷体" w:cs="华文楷体" w:hint="eastAsia"/>
          <w:spacing w:val="5"/>
          <w:shd w:val="clear" w:color="auto" w:fill="FFFFFF"/>
        </w:rPr>
        <w:t>此外</w:t>
      </w:r>
      <w:r>
        <w:rPr>
          <w:rFonts w:ascii="华文楷体" w:eastAsia="华文楷体" w:hAnsi="华文楷体" w:cs="华文楷体" w:hint="eastAsia"/>
          <w:spacing w:val="5"/>
          <w:shd w:val="clear" w:color="auto" w:fill="FFFFFF"/>
        </w:rPr>
        <w:t>用户可自由组合分析国家及产品范围</w:t>
      </w:r>
      <w:r>
        <w:rPr>
          <w:rFonts w:ascii="华文楷体" w:eastAsia="华文楷体" w:hAnsi="华文楷体" w:cs="华文楷体" w:hint="eastAsia"/>
          <w:spacing w:val="5"/>
          <w:shd w:val="clear" w:color="auto" w:fill="FFFFFF"/>
        </w:rPr>
        <w:t>,</w:t>
      </w:r>
      <w:r>
        <w:rPr>
          <w:rFonts w:ascii="华文楷体" w:eastAsia="华文楷体" w:hAnsi="华文楷体" w:cs="华文楷体" w:hint="eastAsia"/>
          <w:spacing w:val="5"/>
          <w:shd w:val="clear" w:color="auto" w:fill="FFFFFF"/>
        </w:rPr>
        <w:t>并在全平台模块中自由组合使用。</w:t>
      </w:r>
    </w:p>
    <w:p w14:paraId="40425DDD" w14:textId="77777777" w:rsidR="00BB6E2B" w:rsidRDefault="00C62DEC">
      <w:pPr>
        <w:pStyle w:val="a6"/>
        <w:widowControl/>
        <w:numPr>
          <w:ilvl w:val="0"/>
          <w:numId w:val="6"/>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在线管理系统</w:t>
      </w:r>
      <w:r>
        <w:rPr>
          <w:rFonts w:ascii="华文楷体" w:eastAsia="华文楷体" w:hAnsi="华文楷体" w:cs="华文楷体" w:hint="eastAsia"/>
          <w:spacing w:val="5"/>
          <w:shd w:val="clear" w:color="auto" w:fill="FFFFFF"/>
        </w:rPr>
        <w:t>：</w:t>
      </w:r>
      <w:r>
        <w:rPr>
          <w:rFonts w:ascii="华文楷体" w:eastAsia="华文楷体" w:hAnsi="华文楷体" w:cs="华文楷体" w:hint="eastAsia"/>
          <w:spacing w:val="5"/>
          <w:shd w:val="clear" w:color="auto" w:fill="FFFFFF"/>
        </w:rPr>
        <w:t>用户可使用</w:t>
      </w:r>
      <w:r>
        <w:rPr>
          <w:rFonts w:ascii="华文楷体" w:eastAsia="华文楷体" w:hAnsi="华文楷体" w:cs="华文楷体" w:hint="eastAsia"/>
          <w:spacing w:val="5"/>
          <w:shd w:val="clear" w:color="auto" w:fill="FFFFFF"/>
        </w:rPr>
        <w:t>GTI</w:t>
      </w:r>
      <w:r>
        <w:rPr>
          <w:rFonts w:ascii="华文楷体" w:eastAsia="华文楷体" w:hAnsi="华文楷体" w:cs="华文楷体" w:hint="eastAsia"/>
          <w:spacing w:val="5"/>
          <w:shd w:val="clear" w:color="auto" w:fill="FFFFFF"/>
        </w:rPr>
        <w:t>系统数据中心提供的文件夹式在线管理系统</w:t>
      </w:r>
      <w:r>
        <w:rPr>
          <w:rFonts w:ascii="华文楷体" w:eastAsia="华文楷体" w:hAnsi="华文楷体" w:cs="华文楷体" w:hint="eastAsia"/>
          <w:spacing w:val="5"/>
          <w:shd w:val="clear" w:color="auto" w:fill="FFFFFF"/>
        </w:rPr>
        <w:t>,</w:t>
      </w:r>
      <w:r>
        <w:rPr>
          <w:rFonts w:ascii="华文楷体" w:eastAsia="华文楷体" w:hAnsi="华文楷体" w:cs="华文楷体" w:hint="eastAsia"/>
          <w:spacing w:val="5"/>
          <w:shd w:val="clear" w:color="auto" w:fill="FFFFFF"/>
        </w:rPr>
        <w:t>生成并管理自己的国家组和产品组。</w:t>
      </w:r>
    </w:p>
    <w:p w14:paraId="4D17BCB4" w14:textId="77777777" w:rsidR="00BB6E2B" w:rsidRDefault="00BB6E2B">
      <w:pPr>
        <w:pStyle w:val="a6"/>
        <w:widowControl/>
        <w:shd w:val="clear" w:color="auto" w:fill="FFFFFF"/>
        <w:spacing w:beforeAutospacing="0" w:afterAutospacing="0"/>
        <w:jc w:val="both"/>
        <w:rPr>
          <w:rFonts w:ascii="华文楷体" w:eastAsia="华文楷体" w:hAnsi="华文楷体" w:cs="华文楷体"/>
          <w:spacing w:val="5"/>
          <w:shd w:val="clear" w:color="auto" w:fill="FFFFFF"/>
        </w:rPr>
      </w:pPr>
    </w:p>
    <w:p w14:paraId="22AF21EE" w14:textId="77777777" w:rsidR="00BB6E2B" w:rsidRDefault="00C62DEC">
      <w:pPr>
        <w:pStyle w:val="a6"/>
        <w:widowControl/>
        <w:numPr>
          <w:ilvl w:val="0"/>
          <w:numId w:val="7"/>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高级分析功能</w:t>
      </w:r>
    </w:p>
    <w:p w14:paraId="33B56773" w14:textId="77777777" w:rsidR="00BB6E2B" w:rsidRDefault="00C62DEC">
      <w:pPr>
        <w:pStyle w:val="a6"/>
        <w:widowControl/>
        <w:numPr>
          <w:ilvl w:val="0"/>
          <w:numId w:val="8"/>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全球产品空间：通过高级可视化揭示各国产品结构和竞争风险，预测外贸发展。</w:t>
      </w:r>
    </w:p>
    <w:p w14:paraId="514E8543" w14:textId="77777777" w:rsidR="00BB6E2B" w:rsidRDefault="00C62DEC">
      <w:pPr>
        <w:pStyle w:val="a6"/>
        <w:widowControl/>
        <w:numPr>
          <w:ilvl w:val="0"/>
          <w:numId w:val="8"/>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全球潜力市场：基于引力模型评估出口潜力，全面分析全球市场机会。</w:t>
      </w:r>
    </w:p>
    <w:p w14:paraId="4C5B370D" w14:textId="77777777" w:rsidR="00BB6E2B" w:rsidRDefault="00C62DEC">
      <w:pPr>
        <w:pStyle w:val="a6"/>
        <w:widowControl/>
        <w:numPr>
          <w:ilvl w:val="0"/>
          <w:numId w:val="8"/>
        </w:numPr>
        <w:shd w:val="clear" w:color="auto" w:fill="FFFFFF"/>
        <w:spacing w:beforeAutospacing="0" w:afterAutospacing="0"/>
        <w:jc w:val="both"/>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供应链流向地图：模拟全球供应链，揭示产品节点的国家关系和供应链风险。</w:t>
      </w:r>
    </w:p>
    <w:p w14:paraId="625BD426" w14:textId="77777777" w:rsidR="00BB6E2B" w:rsidRDefault="00BB6E2B">
      <w:pPr>
        <w:pStyle w:val="a6"/>
        <w:widowControl/>
        <w:shd w:val="clear" w:color="auto" w:fill="FFFFFF"/>
        <w:spacing w:beforeAutospacing="0" w:afterAutospacing="0"/>
        <w:jc w:val="both"/>
        <w:rPr>
          <w:rFonts w:ascii="华文楷体" w:eastAsia="华文楷体" w:hAnsi="华文楷体" w:cs="华文楷体"/>
          <w:spacing w:val="5"/>
          <w:shd w:val="clear" w:color="auto" w:fill="FFFFFF"/>
        </w:rPr>
      </w:pPr>
    </w:p>
    <w:p w14:paraId="77E69B41" w14:textId="77777777" w:rsidR="00BB6E2B" w:rsidRDefault="00C62DEC">
      <w:pPr>
        <w:pStyle w:val="3"/>
        <w:jc w:val="center"/>
        <w:rPr>
          <w:rFonts w:ascii="华文楷体" w:eastAsia="华文楷体" w:hAnsi="华文楷体" w:cs="华文楷体"/>
          <w:b w:val="0"/>
          <w:bCs w:val="0"/>
          <w:spacing w:val="5"/>
          <w:kern w:val="0"/>
          <w:sz w:val="24"/>
          <w:szCs w:val="24"/>
          <w:shd w:val="clear" w:color="auto" w:fill="FFFFFF"/>
          <w:lang w:bidi="ar"/>
        </w:rPr>
      </w:pPr>
      <w:r>
        <w:rPr>
          <w:rFonts w:ascii="华文楷体" w:eastAsia="华文楷体" w:hAnsi="华文楷体" w:cs="华文楷体" w:hint="eastAsia"/>
          <w:b w:val="0"/>
          <w:bCs w:val="0"/>
          <w:spacing w:val="5"/>
          <w:kern w:val="0"/>
          <w:sz w:val="24"/>
          <w:szCs w:val="24"/>
          <w:shd w:val="clear" w:color="auto" w:fill="FFFFFF"/>
          <w:lang w:bidi="ar"/>
        </w:rPr>
        <w:t>公司概况</w:t>
      </w:r>
    </w:p>
    <w:p w14:paraId="64DF0A91" w14:textId="77777777" w:rsidR="00BB6E2B" w:rsidRDefault="00C62DEC">
      <w:pPr>
        <w:adjustRightInd w:val="0"/>
        <w:snapToGrid w:val="0"/>
        <w:spacing w:line="360" w:lineRule="auto"/>
        <w:ind w:firstLineChars="200" w:firstLine="480"/>
        <w:rPr>
          <w:rFonts w:ascii="华文楷体" w:eastAsia="华文楷体" w:hAnsi="华文楷体" w:cs="华文楷体"/>
          <w:sz w:val="24"/>
        </w:rPr>
      </w:pPr>
      <w:r>
        <w:rPr>
          <w:rFonts w:ascii="华文楷体" w:eastAsia="华文楷体" w:hAnsi="华文楷体" w:cs="华文楷体" w:hint="eastAsia"/>
          <w:sz w:val="24"/>
        </w:rPr>
        <w:t>大连瀚闻资讯有限公司成立于</w:t>
      </w:r>
      <w:r>
        <w:rPr>
          <w:rFonts w:ascii="华文楷体" w:eastAsia="华文楷体" w:hAnsi="华文楷体" w:cs="华文楷体" w:hint="eastAsia"/>
          <w:sz w:val="24"/>
        </w:rPr>
        <w:t xml:space="preserve"> 2004 </w:t>
      </w:r>
      <w:r>
        <w:rPr>
          <w:rFonts w:ascii="华文楷体" w:eastAsia="华文楷体" w:hAnsi="华文楷体" w:cs="华文楷体" w:hint="eastAsia"/>
          <w:sz w:val="24"/>
        </w:rPr>
        <w:t>年</w:t>
      </w:r>
      <w:r>
        <w:rPr>
          <w:rFonts w:ascii="华文楷体" w:eastAsia="华文楷体" w:hAnsi="华文楷体" w:cs="华文楷体" w:hint="eastAsia"/>
          <w:sz w:val="24"/>
        </w:rPr>
        <w:t xml:space="preserve"> 5 </w:t>
      </w:r>
      <w:r>
        <w:rPr>
          <w:rFonts w:ascii="华文楷体" w:eastAsia="华文楷体" w:hAnsi="华文楷体" w:cs="华文楷体" w:hint="eastAsia"/>
          <w:sz w:val="24"/>
        </w:rPr>
        <w:t>月</w:t>
      </w:r>
      <w:r>
        <w:rPr>
          <w:rFonts w:ascii="华文楷体" w:eastAsia="华文楷体" w:hAnsi="华文楷体" w:cs="华文楷体" w:hint="eastAsia"/>
          <w:sz w:val="24"/>
        </w:rPr>
        <w:t xml:space="preserve"> 12 </w:t>
      </w:r>
      <w:r>
        <w:rPr>
          <w:rFonts w:ascii="华文楷体" w:eastAsia="华文楷体" w:hAnsi="华文楷体" w:cs="华文楷体" w:hint="eastAsia"/>
          <w:sz w:val="24"/>
        </w:rPr>
        <w:t>日，是中国首家全面收集世界各主要贸易国的货物贸易数据并提供专业分析的商业机构，</w:t>
      </w:r>
      <w:proofErr w:type="gramStart"/>
      <w:r>
        <w:rPr>
          <w:rFonts w:ascii="华文楷体" w:eastAsia="华文楷体" w:hAnsi="华文楷体" w:cs="华文楷体" w:hint="eastAsia"/>
          <w:sz w:val="24"/>
        </w:rPr>
        <w:t>瀚</w:t>
      </w:r>
      <w:proofErr w:type="gramEnd"/>
      <w:r>
        <w:rPr>
          <w:rFonts w:ascii="华文楷体" w:eastAsia="华文楷体" w:hAnsi="华文楷体" w:cs="华文楷体" w:hint="eastAsia"/>
          <w:sz w:val="24"/>
        </w:rPr>
        <w:t>闻资讯成立</w:t>
      </w:r>
      <w:r>
        <w:rPr>
          <w:rFonts w:ascii="华文楷体" w:eastAsia="华文楷体" w:hAnsi="华文楷体" w:cs="华文楷体" w:hint="eastAsia"/>
          <w:sz w:val="24"/>
        </w:rPr>
        <w:t xml:space="preserve"> 15 </w:t>
      </w:r>
      <w:r>
        <w:rPr>
          <w:rFonts w:ascii="华文楷体" w:eastAsia="华文楷体" w:hAnsi="华文楷体" w:cs="华文楷体" w:hint="eastAsia"/>
          <w:sz w:val="24"/>
        </w:rPr>
        <w:t>年来，获得多项荣誉与资质，商务部电子商务示范企业、工信部信息消费示范企业、辽宁省技术创新平台、大连市中小企业公共服务平台、全球贸易监测分析中心（大连）等。</w:t>
      </w:r>
    </w:p>
    <w:p w14:paraId="5BA5438D" w14:textId="77777777" w:rsidR="00BB6E2B" w:rsidRDefault="00C62DEC">
      <w:pPr>
        <w:adjustRightInd w:val="0"/>
        <w:snapToGrid w:val="0"/>
        <w:spacing w:line="360" w:lineRule="auto"/>
        <w:ind w:firstLineChars="200" w:firstLine="480"/>
        <w:rPr>
          <w:rFonts w:ascii="华文楷体" w:eastAsia="华文楷体" w:hAnsi="华文楷体" w:cs="华文楷体"/>
          <w:sz w:val="24"/>
        </w:rPr>
      </w:pPr>
      <w:proofErr w:type="gramStart"/>
      <w:r>
        <w:rPr>
          <w:rFonts w:ascii="华文楷体" w:eastAsia="华文楷体" w:hAnsi="华文楷体" w:cs="华文楷体" w:hint="eastAsia"/>
          <w:sz w:val="24"/>
        </w:rPr>
        <w:t>瀚</w:t>
      </w:r>
      <w:proofErr w:type="gramEnd"/>
      <w:r>
        <w:rPr>
          <w:rFonts w:ascii="华文楷体" w:eastAsia="华文楷体" w:hAnsi="华文楷体" w:cs="华文楷体" w:hint="eastAsia"/>
          <w:sz w:val="24"/>
        </w:rPr>
        <w:t>闻资讯不仅致力于拓展数据资源，还深耕于大数据处理与分析技术，跳出传统的数据形式，由浅入深研发了多种服务于全球经贸领域的明星产品，并将其广泛应用于大数据平台建设、分析系统建设、产业研究、行业研究、精准营销、</w:t>
      </w:r>
      <w:r>
        <w:rPr>
          <w:rFonts w:ascii="华文楷体" w:eastAsia="华文楷体" w:hAnsi="华文楷体" w:cs="华文楷体" w:hint="eastAsia"/>
          <w:sz w:val="24"/>
        </w:rPr>
        <w:lastRenderedPageBreak/>
        <w:t>国际市场开发、国际贸易促进等方面，服务客户遍布全球</w:t>
      </w:r>
      <w:r>
        <w:rPr>
          <w:rFonts w:ascii="华文楷体" w:eastAsia="华文楷体" w:hAnsi="华文楷体" w:cs="华文楷体" w:hint="eastAsia"/>
          <w:sz w:val="24"/>
        </w:rPr>
        <w:t xml:space="preserve"> 67 </w:t>
      </w:r>
      <w:proofErr w:type="gramStart"/>
      <w:r>
        <w:rPr>
          <w:rFonts w:ascii="华文楷体" w:eastAsia="华文楷体" w:hAnsi="华文楷体" w:cs="华文楷体" w:hint="eastAsia"/>
          <w:sz w:val="24"/>
        </w:rPr>
        <w:t>个</w:t>
      </w:r>
      <w:proofErr w:type="gramEnd"/>
      <w:r>
        <w:rPr>
          <w:rFonts w:ascii="华文楷体" w:eastAsia="华文楷体" w:hAnsi="华文楷体" w:cs="华文楷体" w:hint="eastAsia"/>
          <w:sz w:val="24"/>
        </w:rPr>
        <w:t>国家，包括众多政府机构、国际组织、“财富</w:t>
      </w:r>
      <w:r>
        <w:rPr>
          <w:rFonts w:ascii="华文楷体" w:eastAsia="华文楷体" w:hAnsi="华文楷体" w:cs="华文楷体" w:hint="eastAsia"/>
          <w:sz w:val="24"/>
        </w:rPr>
        <w:t xml:space="preserve"> 500 </w:t>
      </w:r>
      <w:r>
        <w:rPr>
          <w:rFonts w:ascii="华文楷体" w:eastAsia="华文楷体" w:hAnsi="华文楷体" w:cs="华文楷体" w:hint="eastAsia"/>
          <w:sz w:val="24"/>
        </w:rPr>
        <w:t>强”企业和万余中小企业，几乎涉及所有行业</w:t>
      </w:r>
      <w:r>
        <w:rPr>
          <w:rFonts w:ascii="华文楷体" w:eastAsia="华文楷体" w:hAnsi="华文楷体" w:cs="华文楷体" w:hint="eastAsia"/>
          <w:sz w:val="24"/>
        </w:rPr>
        <w:t>，名企不胜枚举。</w:t>
      </w:r>
    </w:p>
    <w:p w14:paraId="6E1D611F" w14:textId="77777777" w:rsidR="00BB6E2B" w:rsidRDefault="00C62DEC">
      <w:pPr>
        <w:adjustRightInd w:val="0"/>
        <w:snapToGrid w:val="0"/>
        <w:spacing w:line="360" w:lineRule="auto"/>
        <w:ind w:firstLineChars="200" w:firstLine="480"/>
        <w:rPr>
          <w:rFonts w:ascii="华文楷体" w:eastAsia="华文楷体" w:hAnsi="华文楷体" w:cs="华文楷体"/>
          <w:sz w:val="24"/>
        </w:rPr>
      </w:pPr>
      <w:r>
        <w:rPr>
          <w:rFonts w:ascii="华文楷体" w:eastAsia="华文楷体" w:hAnsi="华文楷体" w:cs="华文楷体" w:hint="eastAsia"/>
          <w:sz w:val="24"/>
        </w:rPr>
        <w:t>此外，</w:t>
      </w:r>
      <w:proofErr w:type="gramStart"/>
      <w:r>
        <w:rPr>
          <w:rFonts w:ascii="华文楷体" w:eastAsia="华文楷体" w:hAnsi="华文楷体" w:cs="华文楷体" w:hint="eastAsia"/>
          <w:sz w:val="24"/>
        </w:rPr>
        <w:t>瀚</w:t>
      </w:r>
      <w:proofErr w:type="gramEnd"/>
      <w:r>
        <w:rPr>
          <w:rFonts w:ascii="华文楷体" w:eastAsia="华文楷体" w:hAnsi="华文楷体" w:cs="华文楷体" w:hint="eastAsia"/>
          <w:sz w:val="24"/>
        </w:rPr>
        <w:t>闻资讯广泛吸纳精英，成立顶尖的智库团队，并依托</w:t>
      </w:r>
      <w:proofErr w:type="gramStart"/>
      <w:r>
        <w:rPr>
          <w:rFonts w:ascii="华文楷体" w:eastAsia="华文楷体" w:hAnsi="华文楷体" w:cs="华文楷体" w:hint="eastAsia"/>
          <w:sz w:val="24"/>
        </w:rPr>
        <w:t>瀚</w:t>
      </w:r>
      <w:proofErr w:type="gramEnd"/>
      <w:r>
        <w:rPr>
          <w:rFonts w:ascii="华文楷体" w:eastAsia="华文楷体" w:hAnsi="华文楷体" w:cs="华文楷体" w:hint="eastAsia"/>
          <w:sz w:val="24"/>
        </w:rPr>
        <w:t>闻资讯海量、权威、全面的数据资源，以犀利的问题分析判断能力、超前的战略思维谋划能力、精准的目标选择设定能力以及高超的总结概括表达能力，形成了多项成功的智库产品，得到各级政府及社会各界人事的一致认可，部分观点更是被人民日报、经济日报等国内众多权威媒体采纳，并于头版头条进行发布报道。此外，</w:t>
      </w:r>
      <w:proofErr w:type="gramStart"/>
      <w:r>
        <w:rPr>
          <w:rFonts w:ascii="华文楷体" w:eastAsia="华文楷体" w:hAnsi="华文楷体" w:cs="华文楷体" w:hint="eastAsia"/>
          <w:sz w:val="24"/>
        </w:rPr>
        <w:t>瀚</w:t>
      </w:r>
      <w:proofErr w:type="gramEnd"/>
      <w:r>
        <w:rPr>
          <w:rFonts w:ascii="华文楷体" w:eastAsia="华文楷体" w:hAnsi="华文楷体" w:cs="华文楷体" w:hint="eastAsia"/>
          <w:sz w:val="24"/>
        </w:rPr>
        <w:t>闻资讯在</w:t>
      </w:r>
      <w:r>
        <w:rPr>
          <w:rFonts w:ascii="华文楷体" w:eastAsia="华文楷体" w:hAnsi="华文楷体" w:cs="华文楷体" w:hint="eastAsia"/>
          <w:sz w:val="24"/>
        </w:rPr>
        <w:t xml:space="preserve"> 2016</w:t>
      </w:r>
      <w:r>
        <w:rPr>
          <w:rFonts w:ascii="华文楷体" w:eastAsia="华文楷体" w:hAnsi="华文楷体" w:cs="华文楷体" w:hint="eastAsia"/>
          <w:sz w:val="24"/>
        </w:rPr>
        <w:t>年与国家信息中心共建“国家信息中心‘一带一路’外贸大数据研究所”、在</w:t>
      </w:r>
      <w:r>
        <w:rPr>
          <w:rFonts w:ascii="华文楷体" w:eastAsia="华文楷体" w:hAnsi="华文楷体" w:cs="华文楷体" w:hint="eastAsia"/>
          <w:sz w:val="24"/>
        </w:rPr>
        <w:t xml:space="preserve"> 2017 </w:t>
      </w:r>
      <w:r>
        <w:rPr>
          <w:rFonts w:ascii="华文楷体" w:eastAsia="华文楷体" w:hAnsi="华文楷体" w:cs="华文楷体" w:hint="eastAsia"/>
          <w:sz w:val="24"/>
        </w:rPr>
        <w:t>与大连理工大学共建“大数据实验室”、在</w:t>
      </w:r>
      <w:r>
        <w:rPr>
          <w:rFonts w:ascii="华文楷体" w:eastAsia="华文楷体" w:hAnsi="华文楷体" w:cs="华文楷体" w:hint="eastAsia"/>
          <w:sz w:val="24"/>
        </w:rPr>
        <w:t xml:space="preserve"> 2018 </w:t>
      </w:r>
      <w:r>
        <w:rPr>
          <w:rFonts w:ascii="华文楷体" w:eastAsia="华文楷体" w:hAnsi="华文楷体" w:cs="华文楷体" w:hint="eastAsia"/>
          <w:sz w:val="24"/>
        </w:rPr>
        <w:t>年</w:t>
      </w:r>
      <w:r>
        <w:rPr>
          <w:rFonts w:ascii="华文楷体" w:eastAsia="华文楷体" w:hAnsi="华文楷体" w:cs="华文楷体" w:hint="eastAsia"/>
          <w:sz w:val="24"/>
        </w:rPr>
        <w:t>被海关总署授予资质“全球贸易监测分析中心（大连）”，进一步证明并巩固了</w:t>
      </w:r>
      <w:proofErr w:type="gramStart"/>
      <w:r>
        <w:rPr>
          <w:rFonts w:ascii="华文楷体" w:eastAsia="华文楷体" w:hAnsi="华文楷体" w:cs="华文楷体" w:hint="eastAsia"/>
          <w:sz w:val="24"/>
        </w:rPr>
        <w:t>瀚</w:t>
      </w:r>
      <w:proofErr w:type="gramEnd"/>
      <w:r>
        <w:rPr>
          <w:rFonts w:ascii="华文楷体" w:eastAsia="华文楷体" w:hAnsi="华文楷体" w:cs="华文楷体" w:hint="eastAsia"/>
          <w:sz w:val="24"/>
        </w:rPr>
        <w:t>闻资讯作为民间智库的地位与能力。</w:t>
      </w:r>
    </w:p>
    <w:p w14:paraId="7823C77D" w14:textId="77777777" w:rsidR="00BB6E2B" w:rsidRDefault="00BB6E2B">
      <w:pPr>
        <w:pStyle w:val="a6"/>
        <w:widowControl/>
        <w:shd w:val="clear" w:color="auto" w:fill="FFFFFF"/>
        <w:spacing w:beforeAutospacing="0" w:afterAutospacing="0"/>
        <w:jc w:val="both"/>
        <w:rPr>
          <w:rFonts w:ascii="华文楷体" w:eastAsia="华文楷体" w:hAnsi="华文楷体" w:cs="华文楷体"/>
          <w:spacing w:val="5"/>
          <w:shd w:val="clear" w:color="auto" w:fill="FFFFFF"/>
        </w:rPr>
      </w:pPr>
    </w:p>
    <w:p w14:paraId="0FA8EF8A" w14:textId="77777777" w:rsidR="00BB6E2B" w:rsidRDefault="00C62DEC">
      <w:pPr>
        <w:pStyle w:val="3"/>
        <w:jc w:val="center"/>
        <w:rPr>
          <w:rFonts w:ascii="华文楷体" w:eastAsia="华文楷体" w:hAnsi="华文楷体" w:cs="华文楷体"/>
          <w:b w:val="0"/>
          <w:bCs w:val="0"/>
          <w:spacing w:val="5"/>
          <w:kern w:val="0"/>
          <w:sz w:val="22"/>
          <w:szCs w:val="22"/>
          <w:shd w:val="clear" w:color="auto" w:fill="FFFFFF"/>
          <w:lang w:bidi="ar"/>
        </w:rPr>
      </w:pPr>
      <w:r>
        <w:rPr>
          <w:rFonts w:ascii="华文楷体" w:eastAsia="华文楷体" w:hAnsi="华文楷体" w:cs="华文楷体" w:hint="eastAsia"/>
          <w:b w:val="0"/>
          <w:bCs w:val="0"/>
          <w:spacing w:val="5"/>
          <w:kern w:val="0"/>
          <w:sz w:val="22"/>
          <w:szCs w:val="22"/>
          <w:shd w:val="clear" w:color="auto" w:fill="FFFFFF"/>
          <w:lang w:bidi="ar"/>
        </w:rPr>
        <w:t>合作客户</w:t>
      </w:r>
    </w:p>
    <w:p w14:paraId="5EFA2E9D" w14:textId="77777777" w:rsidR="00BB6E2B" w:rsidRDefault="00C62DEC">
      <w:pPr>
        <w:rPr>
          <w:rFonts w:ascii="华文楷体" w:eastAsia="华文楷体" w:hAnsi="华文楷体" w:cs="华文楷体"/>
          <w:sz w:val="24"/>
        </w:rPr>
      </w:pPr>
      <w:r>
        <w:rPr>
          <w:rFonts w:ascii="华文楷体" w:eastAsia="华文楷体" w:hAnsi="华文楷体" w:cs="华文楷体" w:hint="eastAsia"/>
          <w:b/>
          <w:bCs/>
          <w:sz w:val="24"/>
        </w:rPr>
        <w:t>商务系统：</w:t>
      </w:r>
      <w:r>
        <w:rPr>
          <w:rFonts w:ascii="华文楷体" w:eastAsia="华文楷体" w:hAnsi="华文楷体" w:cs="华文楷体" w:hint="eastAsia"/>
          <w:sz w:val="24"/>
        </w:rPr>
        <w:t>中华人民共和国商务部｜商务部外贸发展事务局｜中国机电产品进出口商会｜</w:t>
      </w:r>
      <w:hyperlink r:id="rId8" w:tgtFrame="_blank" w:history="1">
        <w:r>
          <w:rPr>
            <w:rFonts w:ascii="华文楷体" w:eastAsia="华文楷体" w:hAnsi="华文楷体" w:cs="华文楷体" w:hint="eastAsia"/>
            <w:sz w:val="24"/>
          </w:rPr>
          <w:t>中国食品土畜进出口商会</w:t>
        </w:r>
      </w:hyperlink>
      <w:r>
        <w:rPr>
          <w:rFonts w:ascii="华文楷体" w:eastAsia="华文楷体" w:hAnsi="华文楷体" w:cs="华文楷体" w:hint="eastAsia"/>
          <w:sz w:val="24"/>
        </w:rPr>
        <w:t>｜中国五矿化工进出口商会｜中国纺织品进出口商会｜中国医药保健品进出口商会｜中国轻工工艺品进出口商会｜中国对外贸易中心集团有限公司｜中国国际电子商务中心｜海南省商务厅｜</w:t>
      </w:r>
      <w:r>
        <w:rPr>
          <w:rFonts w:ascii="华文楷体" w:eastAsia="华文楷体" w:hAnsi="华文楷体" w:cs="华文楷体" w:hint="eastAsia"/>
          <w:sz w:val="24"/>
        </w:rPr>
        <w:t xml:space="preserve"> </w:t>
      </w:r>
      <w:r>
        <w:rPr>
          <w:rFonts w:ascii="华文楷体" w:eastAsia="华文楷体" w:hAnsi="华文楷体" w:cs="华文楷体" w:hint="eastAsia"/>
          <w:sz w:val="24"/>
        </w:rPr>
        <w:t>江西省商务厅｜辽宁省商务厅｜大连市商务局｜无锡市商务局</w:t>
      </w:r>
    </w:p>
    <w:p w14:paraId="3EDB20B1" w14:textId="77777777" w:rsidR="00BB6E2B" w:rsidRDefault="00C62DEC">
      <w:pPr>
        <w:rPr>
          <w:rFonts w:ascii="华文楷体" w:eastAsia="华文楷体" w:hAnsi="华文楷体" w:cs="华文楷体"/>
          <w:sz w:val="24"/>
        </w:rPr>
      </w:pPr>
      <w:r>
        <w:rPr>
          <w:rFonts w:ascii="华文楷体" w:eastAsia="华文楷体" w:hAnsi="华文楷体" w:cs="华文楷体" w:hint="eastAsia"/>
          <w:b/>
          <w:bCs/>
          <w:sz w:val="24"/>
        </w:rPr>
        <w:t>海关系统：</w:t>
      </w:r>
      <w:r>
        <w:rPr>
          <w:rFonts w:ascii="华文楷体" w:eastAsia="华文楷体" w:hAnsi="华文楷体" w:cs="华文楷体" w:hint="eastAsia"/>
          <w:sz w:val="24"/>
        </w:rPr>
        <w:t>中华人民共和国海关总署｜全国海关信息中心｜南京海关｜北京海关｜天津海关｜</w:t>
      </w:r>
      <w:r>
        <w:rPr>
          <w:rFonts w:ascii="华文楷体" w:eastAsia="华文楷体" w:hAnsi="华文楷体" w:cs="华文楷体" w:hint="eastAsia"/>
          <w:sz w:val="24"/>
        </w:rPr>
        <w:t xml:space="preserve"> </w:t>
      </w:r>
      <w:r>
        <w:rPr>
          <w:rFonts w:ascii="华文楷体" w:eastAsia="华文楷体" w:hAnsi="华文楷体" w:cs="华文楷体" w:hint="eastAsia"/>
          <w:sz w:val="24"/>
        </w:rPr>
        <w:t>乌鲁木齐海关</w:t>
      </w:r>
    </w:p>
    <w:p w14:paraId="7781F01A" w14:textId="77777777" w:rsidR="00BB6E2B" w:rsidRDefault="00C62DEC">
      <w:pPr>
        <w:rPr>
          <w:rFonts w:ascii="华文楷体" w:eastAsia="华文楷体" w:hAnsi="华文楷体" w:cs="华文楷体"/>
          <w:sz w:val="24"/>
        </w:rPr>
      </w:pPr>
      <w:r>
        <w:rPr>
          <w:rFonts w:ascii="华文楷体" w:eastAsia="华文楷体" w:hAnsi="华文楷体" w:cs="华文楷体" w:hint="eastAsia"/>
          <w:b/>
          <w:bCs/>
          <w:sz w:val="24"/>
        </w:rPr>
        <w:t>贸促系统：</w:t>
      </w:r>
      <w:r>
        <w:rPr>
          <w:rFonts w:ascii="华文楷体" w:eastAsia="华文楷体" w:hAnsi="华文楷体" w:cs="华文楷体" w:hint="eastAsia"/>
          <w:sz w:val="24"/>
        </w:rPr>
        <w:t>中国国际贸易促进委员会｜中国国际贸易促进委员会湖南省分会｜中国国际贸易促进委员会大连市分会｜中国国际贸易促进委员会纺织行业分会｜</w:t>
      </w:r>
      <w:r>
        <w:rPr>
          <w:rFonts w:ascii="华文楷体" w:eastAsia="华文楷体" w:hAnsi="华文楷体" w:cs="华文楷体" w:hint="eastAsia"/>
          <w:sz w:val="24"/>
        </w:rPr>
        <w:lastRenderedPageBreak/>
        <w:t>农业农村部农业贸易促进中心｜</w:t>
      </w:r>
      <w:r>
        <w:rPr>
          <w:rFonts w:ascii="华文楷体" w:eastAsia="华文楷体" w:hAnsi="华文楷体" w:cs="华文楷体" w:hint="eastAsia"/>
          <w:sz w:val="24"/>
        </w:rPr>
        <w:t>日本</w:t>
      </w:r>
      <w:proofErr w:type="spellStart"/>
      <w:r>
        <w:rPr>
          <w:rFonts w:ascii="华文楷体" w:eastAsia="华文楷体" w:hAnsi="华文楷体" w:cs="华文楷体" w:hint="eastAsia"/>
          <w:sz w:val="24"/>
        </w:rPr>
        <w:t>jetro</w:t>
      </w:r>
      <w:proofErr w:type="spellEnd"/>
    </w:p>
    <w:p w14:paraId="4EE5126D" w14:textId="77777777" w:rsidR="00BB6E2B" w:rsidRDefault="00C62DEC">
      <w:pPr>
        <w:rPr>
          <w:rFonts w:ascii="华文楷体" w:eastAsia="华文楷体" w:hAnsi="华文楷体" w:cs="华文楷体"/>
          <w:sz w:val="24"/>
        </w:rPr>
      </w:pPr>
      <w:r>
        <w:rPr>
          <w:rFonts w:ascii="华文楷体" w:eastAsia="华文楷体" w:hAnsi="华文楷体" w:cs="华文楷体" w:hint="eastAsia"/>
          <w:b/>
          <w:bCs/>
          <w:sz w:val="24"/>
        </w:rPr>
        <w:t>农业系统</w:t>
      </w:r>
      <w:r>
        <w:rPr>
          <w:rFonts w:ascii="华文楷体" w:eastAsia="华文楷体" w:hAnsi="华文楷体" w:cs="华文楷体" w:hint="eastAsia"/>
          <w:b/>
          <w:bCs/>
          <w:sz w:val="24"/>
        </w:rPr>
        <w:t>：</w:t>
      </w:r>
      <w:r>
        <w:rPr>
          <w:rFonts w:ascii="华文楷体" w:eastAsia="华文楷体" w:hAnsi="华文楷体" w:cs="华文楷体" w:hint="eastAsia"/>
          <w:sz w:val="24"/>
        </w:rPr>
        <w:t>中华人民共和国农业农村部｜农业农村部农业贸易促进中心｜中国农业科学</w:t>
      </w:r>
      <w:proofErr w:type="gramStart"/>
      <w:r>
        <w:rPr>
          <w:rFonts w:ascii="华文楷体" w:eastAsia="华文楷体" w:hAnsi="华文楷体" w:cs="华文楷体" w:hint="eastAsia"/>
          <w:sz w:val="24"/>
        </w:rPr>
        <w:t>院信息</w:t>
      </w:r>
      <w:proofErr w:type="gramEnd"/>
      <w:r>
        <w:rPr>
          <w:rFonts w:ascii="华文楷体" w:eastAsia="华文楷体" w:hAnsi="华文楷体" w:cs="华文楷体" w:hint="eastAsia"/>
          <w:sz w:val="24"/>
        </w:rPr>
        <w:t>研究所｜辽宁省农产品出口服务中心</w:t>
      </w:r>
    </w:p>
    <w:p w14:paraId="4500B88A" w14:textId="77777777" w:rsidR="00BB6E2B" w:rsidRDefault="00C62DEC">
      <w:pPr>
        <w:rPr>
          <w:rFonts w:ascii="华文楷体" w:eastAsia="华文楷体" w:hAnsi="华文楷体" w:cs="华文楷体"/>
          <w:sz w:val="24"/>
        </w:rPr>
      </w:pPr>
      <w:r>
        <w:rPr>
          <w:rFonts w:ascii="华文楷体" w:eastAsia="华文楷体" w:hAnsi="华文楷体" w:cs="华文楷体" w:hint="eastAsia"/>
          <w:b/>
          <w:bCs/>
          <w:sz w:val="24"/>
        </w:rPr>
        <w:t>原工业部：</w:t>
      </w:r>
      <w:r>
        <w:rPr>
          <w:rFonts w:ascii="华文楷体" w:eastAsia="华文楷体" w:hAnsi="华文楷体" w:cs="华文楷体" w:hint="eastAsia"/>
          <w:sz w:val="24"/>
        </w:rPr>
        <w:t>中国</w:t>
      </w:r>
      <w:r>
        <w:rPr>
          <w:rFonts w:ascii="华文楷体" w:eastAsia="华文楷体" w:hAnsi="华文楷体" w:cs="华文楷体" w:hint="eastAsia"/>
          <w:sz w:val="24"/>
        </w:rPr>
        <w:t>纺织工业联合会</w:t>
      </w:r>
      <w:r>
        <w:rPr>
          <w:rFonts w:ascii="华文楷体" w:eastAsia="华文楷体" w:hAnsi="华文楷体" w:cs="华文楷体" w:hint="eastAsia"/>
          <w:sz w:val="24"/>
        </w:rPr>
        <w:t>｜农业农村部农业贸易促进中心｜中国畜牧业协会｜机械工业信息研究院</w:t>
      </w:r>
    </w:p>
    <w:p w14:paraId="47B450E9" w14:textId="77777777" w:rsidR="00BB6E2B" w:rsidRDefault="00C62DEC">
      <w:pPr>
        <w:rPr>
          <w:rFonts w:ascii="华文楷体" w:eastAsia="华文楷体" w:hAnsi="华文楷体" w:cs="华文楷体"/>
          <w:sz w:val="24"/>
        </w:rPr>
      </w:pPr>
      <w:r>
        <w:rPr>
          <w:rFonts w:ascii="华文楷体" w:eastAsia="华文楷体" w:hAnsi="华文楷体" w:cs="华文楷体" w:hint="eastAsia"/>
          <w:b/>
          <w:bCs/>
          <w:sz w:val="24"/>
        </w:rPr>
        <w:t>金融机构：</w:t>
      </w:r>
      <w:r>
        <w:rPr>
          <w:rFonts w:ascii="华文楷体" w:eastAsia="华文楷体" w:hAnsi="华文楷体" w:cs="华文楷体" w:hint="eastAsia"/>
          <w:sz w:val="24"/>
        </w:rPr>
        <w:t>中国出口信用保险公司｜汇丰银行｜兴业银行大连分行｜中信银行大连分行｜民生银行沈阳分行</w:t>
      </w:r>
    </w:p>
    <w:p w14:paraId="6B90DF1F" w14:textId="77777777" w:rsidR="00BB6E2B" w:rsidRDefault="00C62DEC">
      <w:pPr>
        <w:rPr>
          <w:rFonts w:ascii="华文楷体" w:eastAsia="华文楷体" w:hAnsi="华文楷体" w:cs="华文楷体"/>
          <w:sz w:val="24"/>
        </w:rPr>
      </w:pPr>
      <w:r>
        <w:rPr>
          <w:rFonts w:ascii="华文楷体" w:eastAsia="华文楷体" w:hAnsi="华文楷体" w:cs="华文楷体" w:hint="eastAsia"/>
          <w:b/>
          <w:bCs/>
          <w:sz w:val="24"/>
        </w:rPr>
        <w:t>地方行业：</w:t>
      </w:r>
      <w:r>
        <w:rPr>
          <w:rFonts w:ascii="华文楷体" w:eastAsia="华文楷体" w:hAnsi="华文楷体" w:cs="华文楷体" w:hint="eastAsia"/>
          <w:sz w:val="24"/>
        </w:rPr>
        <w:t>辽宁省先进装备制造业基地建设工程中心｜辽宁省农产品出口服务中心｜大连市工业和信息化局</w:t>
      </w:r>
    </w:p>
    <w:p w14:paraId="2FCC985B" w14:textId="77777777" w:rsidR="00BB6E2B" w:rsidRDefault="00C62DEC">
      <w:pPr>
        <w:rPr>
          <w:rFonts w:ascii="华文楷体" w:eastAsia="华文楷体" w:hAnsi="华文楷体" w:cs="华文楷体"/>
          <w:sz w:val="24"/>
        </w:rPr>
      </w:pPr>
      <w:r>
        <w:rPr>
          <w:rFonts w:ascii="华文楷体" w:eastAsia="华文楷体" w:hAnsi="华文楷体" w:cs="华文楷体" w:hint="eastAsia"/>
          <w:b/>
          <w:bCs/>
          <w:sz w:val="24"/>
        </w:rPr>
        <w:t>信息院所：</w:t>
      </w:r>
      <w:r>
        <w:rPr>
          <w:rFonts w:ascii="华文楷体" w:eastAsia="华文楷体" w:hAnsi="华文楷体" w:cs="华文楷体" w:hint="eastAsia"/>
          <w:sz w:val="24"/>
        </w:rPr>
        <w:t>国务院发展研究中心｜国家信息中心｜全国海关信息中心｜机械工业信息研究院｜中国经济信息社</w:t>
      </w:r>
    </w:p>
    <w:p w14:paraId="56FDAAB5" w14:textId="77777777" w:rsidR="00BB6E2B" w:rsidRDefault="00C62DEC">
      <w:pPr>
        <w:rPr>
          <w:rFonts w:ascii="华文楷体" w:eastAsia="华文楷体" w:hAnsi="华文楷体" w:cs="华文楷体"/>
          <w:spacing w:val="5"/>
          <w:sz w:val="24"/>
          <w:shd w:val="clear" w:color="auto" w:fill="FFFFFF"/>
        </w:rPr>
      </w:pPr>
      <w:r>
        <w:rPr>
          <w:rFonts w:ascii="华文楷体" w:eastAsia="华文楷体" w:hAnsi="华文楷体" w:cs="华文楷体" w:hint="eastAsia"/>
          <w:b/>
          <w:bCs/>
          <w:sz w:val="24"/>
        </w:rPr>
        <w:t>知名企业：</w:t>
      </w:r>
      <w:r>
        <w:rPr>
          <w:rFonts w:ascii="华文楷体" w:eastAsia="华文楷体" w:hAnsi="华文楷体" w:cs="华文楷体" w:hint="eastAsia"/>
          <w:sz w:val="24"/>
        </w:rPr>
        <w:t>阿里巴巴集</w:t>
      </w:r>
      <w:r>
        <w:rPr>
          <w:rFonts w:ascii="华文楷体" w:eastAsia="华文楷体" w:hAnsi="华文楷体" w:cs="华文楷体" w:hint="eastAsia"/>
          <w:sz w:val="24"/>
        </w:rPr>
        <w:t>团、海尔集团、美的集团、格兰仕集团、日本日立集团、越南长海汽车、彭博社、中国经济信息社等</w:t>
      </w:r>
    </w:p>
    <w:p w14:paraId="5C8ABED0" w14:textId="77777777" w:rsidR="00BB6E2B" w:rsidRDefault="00BB6E2B">
      <w:pPr>
        <w:pStyle w:val="a6"/>
        <w:widowControl/>
        <w:shd w:val="clear" w:color="auto" w:fill="FFFFFF"/>
        <w:spacing w:beforeAutospacing="0" w:afterAutospacing="0"/>
        <w:jc w:val="both"/>
        <w:rPr>
          <w:rFonts w:ascii="华文楷体" w:eastAsia="华文楷体" w:hAnsi="华文楷体" w:cs="华文楷体"/>
          <w:spacing w:val="5"/>
          <w:shd w:val="clear" w:color="auto" w:fill="FFFFFF"/>
        </w:rPr>
      </w:pPr>
    </w:p>
    <w:p w14:paraId="51C72254" w14:textId="77777777" w:rsidR="00BB6E2B" w:rsidRDefault="00C62DEC">
      <w:pPr>
        <w:pStyle w:val="a6"/>
        <w:widowControl/>
        <w:shd w:val="clear" w:color="auto" w:fill="FFFFFF"/>
        <w:spacing w:beforeAutospacing="0" w:afterAutospacing="0"/>
        <w:jc w:val="center"/>
        <w:rPr>
          <w:rFonts w:ascii="华文楷体" w:eastAsia="华文楷体" w:hAnsi="华文楷体" w:cs="华文楷体"/>
          <w:spacing w:val="5"/>
          <w:shd w:val="clear" w:color="auto" w:fill="FFFFFF"/>
        </w:rPr>
      </w:pPr>
      <w:r>
        <w:rPr>
          <w:rFonts w:ascii="华文楷体" w:eastAsia="华文楷体" w:hAnsi="华文楷体" w:cs="华文楷体" w:hint="eastAsia"/>
          <w:spacing w:val="5"/>
          <w:shd w:val="clear" w:color="auto" w:fill="FFFFFF"/>
        </w:rPr>
        <w:t>产品一窥</w:t>
      </w:r>
    </w:p>
    <w:p w14:paraId="5F7CD884" w14:textId="77777777" w:rsidR="00BB6E2B" w:rsidRDefault="00C62DEC">
      <w:pPr>
        <w:pStyle w:val="a6"/>
        <w:widowControl/>
        <w:shd w:val="clear" w:color="auto" w:fill="FFFFFF"/>
        <w:spacing w:beforeAutospacing="0" w:afterAutospacing="0"/>
        <w:jc w:val="both"/>
        <w:rPr>
          <w:rFonts w:ascii="Microsoft YaHei UI" w:eastAsia="Microsoft YaHei UI" w:hAnsi="Microsoft YaHei UI" w:cs="Microsoft YaHei UI"/>
          <w:spacing w:val="5"/>
          <w:sz w:val="17"/>
          <w:szCs w:val="17"/>
        </w:rPr>
      </w:pPr>
      <w:r>
        <w:rPr>
          <w:noProof/>
        </w:rPr>
        <w:drawing>
          <wp:inline distT="0" distB="0" distL="114300" distR="114300" wp14:anchorId="3B4EE73B" wp14:editId="5D099C59">
            <wp:extent cx="5117465" cy="2585720"/>
            <wp:effectExtent l="0" t="0" r="63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9"/>
                    <a:stretch>
                      <a:fillRect/>
                    </a:stretch>
                  </pic:blipFill>
                  <pic:spPr>
                    <a:xfrm>
                      <a:off x="0" y="0"/>
                      <a:ext cx="5117465" cy="2585720"/>
                    </a:xfrm>
                    <a:prstGeom prst="rect">
                      <a:avLst/>
                    </a:prstGeom>
                    <a:noFill/>
                    <a:ln>
                      <a:noFill/>
                    </a:ln>
                  </pic:spPr>
                </pic:pic>
              </a:graphicData>
            </a:graphic>
          </wp:inline>
        </w:drawing>
      </w:r>
      <w:r>
        <w:rPr>
          <w:rFonts w:ascii="Microsoft YaHei UI" w:eastAsia="Microsoft YaHei UI" w:hAnsi="Microsoft YaHei UI" w:cs="Microsoft YaHei UI" w:hint="eastAsia"/>
          <w:spacing w:val="5"/>
          <w:sz w:val="17"/>
          <w:szCs w:val="17"/>
          <w:shd w:val="clear" w:color="auto" w:fill="FFFFFF"/>
        </w:rPr>
        <w:t> </w:t>
      </w:r>
    </w:p>
    <w:p w14:paraId="538B1E49" w14:textId="77777777" w:rsidR="00BB6E2B" w:rsidRDefault="00C62DEC">
      <w:pPr>
        <w:pStyle w:val="a6"/>
        <w:widowControl/>
        <w:shd w:val="clear" w:color="auto" w:fill="FFFFFF"/>
        <w:spacing w:beforeAutospacing="0" w:afterAutospacing="0"/>
        <w:jc w:val="both"/>
      </w:pPr>
      <w:r>
        <w:rPr>
          <w:noProof/>
        </w:rPr>
        <w:lastRenderedPageBreak/>
        <w:drawing>
          <wp:inline distT="0" distB="0" distL="114300" distR="114300" wp14:anchorId="54BFDAF9" wp14:editId="5F4057B9">
            <wp:extent cx="5260975" cy="2658110"/>
            <wp:effectExtent l="0" t="0" r="9525" b="889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0"/>
                    <a:stretch>
                      <a:fillRect/>
                    </a:stretch>
                  </pic:blipFill>
                  <pic:spPr>
                    <a:xfrm>
                      <a:off x="0" y="0"/>
                      <a:ext cx="5260975" cy="2658110"/>
                    </a:xfrm>
                    <a:prstGeom prst="rect">
                      <a:avLst/>
                    </a:prstGeom>
                    <a:noFill/>
                    <a:ln>
                      <a:noFill/>
                    </a:ln>
                  </pic:spPr>
                </pic:pic>
              </a:graphicData>
            </a:graphic>
          </wp:inline>
        </w:drawing>
      </w:r>
    </w:p>
    <w:p w14:paraId="1B15CAA9" w14:textId="77777777" w:rsidR="00BB6E2B" w:rsidRDefault="00BB6E2B">
      <w:pPr>
        <w:pStyle w:val="a6"/>
        <w:widowControl/>
        <w:shd w:val="clear" w:color="auto" w:fill="FFFFFF"/>
        <w:spacing w:beforeAutospacing="0" w:afterAutospacing="0"/>
        <w:jc w:val="both"/>
      </w:pPr>
    </w:p>
    <w:p w14:paraId="2E0C7DB4" w14:textId="77777777" w:rsidR="00BB6E2B" w:rsidRDefault="00C62DEC">
      <w:pPr>
        <w:pStyle w:val="a6"/>
        <w:widowControl/>
        <w:shd w:val="clear" w:color="auto" w:fill="FFFFFF"/>
        <w:spacing w:beforeAutospacing="0" w:afterAutospacing="0"/>
        <w:jc w:val="both"/>
        <w:rPr>
          <w:rFonts w:ascii="Microsoft YaHei UI" w:eastAsia="Microsoft YaHei UI" w:hAnsi="Microsoft YaHei UI" w:cs="Microsoft YaHei UI"/>
          <w:spacing w:val="5"/>
          <w:sz w:val="17"/>
          <w:szCs w:val="17"/>
        </w:rPr>
      </w:pPr>
      <w:r>
        <w:rPr>
          <w:noProof/>
        </w:rPr>
        <w:drawing>
          <wp:inline distT="0" distB="0" distL="114300" distR="114300" wp14:anchorId="4272492C" wp14:editId="356DE537">
            <wp:extent cx="5260975" cy="2658110"/>
            <wp:effectExtent l="0" t="0" r="9525" b="889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1"/>
                    <a:stretch>
                      <a:fillRect/>
                    </a:stretch>
                  </pic:blipFill>
                  <pic:spPr>
                    <a:xfrm>
                      <a:off x="0" y="0"/>
                      <a:ext cx="5260975" cy="2658110"/>
                    </a:xfrm>
                    <a:prstGeom prst="rect">
                      <a:avLst/>
                    </a:prstGeom>
                    <a:noFill/>
                    <a:ln>
                      <a:noFill/>
                    </a:ln>
                  </pic:spPr>
                </pic:pic>
              </a:graphicData>
            </a:graphic>
          </wp:inline>
        </w:drawing>
      </w:r>
    </w:p>
    <w:p w14:paraId="303F20BB" w14:textId="77777777" w:rsidR="00BB6E2B" w:rsidRDefault="00C62DEC">
      <w:pPr>
        <w:pStyle w:val="a6"/>
        <w:widowControl/>
        <w:shd w:val="clear" w:color="auto" w:fill="FFFFFF"/>
        <w:spacing w:beforeAutospacing="0" w:afterAutospacing="0"/>
        <w:jc w:val="both"/>
        <w:rPr>
          <w:rFonts w:ascii="Microsoft YaHei UI" w:eastAsia="Microsoft YaHei UI" w:hAnsi="Microsoft YaHei UI" w:cs="Microsoft YaHei UI"/>
          <w:spacing w:val="5"/>
          <w:sz w:val="17"/>
          <w:szCs w:val="17"/>
        </w:rPr>
      </w:pPr>
      <w:r>
        <w:rPr>
          <w:noProof/>
        </w:rPr>
        <w:drawing>
          <wp:inline distT="0" distB="0" distL="114300" distR="114300" wp14:anchorId="53FF4CB7" wp14:editId="042EEB3D">
            <wp:extent cx="5260975" cy="2658110"/>
            <wp:effectExtent l="0" t="0" r="9525" b="889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2"/>
                    <a:stretch>
                      <a:fillRect/>
                    </a:stretch>
                  </pic:blipFill>
                  <pic:spPr>
                    <a:xfrm>
                      <a:off x="0" y="0"/>
                      <a:ext cx="5260975" cy="2658110"/>
                    </a:xfrm>
                    <a:prstGeom prst="rect">
                      <a:avLst/>
                    </a:prstGeom>
                    <a:noFill/>
                    <a:ln>
                      <a:noFill/>
                    </a:ln>
                  </pic:spPr>
                </pic:pic>
              </a:graphicData>
            </a:graphic>
          </wp:inline>
        </w:drawing>
      </w:r>
    </w:p>
    <w:p w14:paraId="00D78492" w14:textId="77777777" w:rsidR="00BB6E2B" w:rsidRDefault="00C62DEC">
      <w:pPr>
        <w:pStyle w:val="a6"/>
        <w:widowControl/>
        <w:shd w:val="clear" w:color="auto" w:fill="FFFFFF"/>
        <w:spacing w:beforeAutospacing="0" w:afterAutospacing="0"/>
        <w:ind w:firstLine="420"/>
        <w:jc w:val="both"/>
        <w:rPr>
          <w:rFonts w:ascii="Microsoft YaHei UI" w:eastAsia="Microsoft YaHei UI" w:hAnsi="Microsoft YaHei UI" w:cs="Microsoft YaHei UI"/>
          <w:spacing w:val="5"/>
          <w:sz w:val="17"/>
          <w:szCs w:val="17"/>
        </w:rPr>
      </w:pPr>
      <w:r>
        <w:rPr>
          <w:rFonts w:ascii="Times New Roman" w:eastAsia="Microsoft YaHei UI" w:hAnsi="Times New Roman"/>
          <w:spacing w:val="5"/>
          <w:sz w:val="17"/>
          <w:szCs w:val="17"/>
          <w:shd w:val="clear" w:color="auto" w:fill="FFFFFF"/>
        </w:rPr>
        <w:t>          </w:t>
      </w:r>
      <w:r>
        <w:rPr>
          <w:rFonts w:ascii="Microsoft YaHei UI" w:eastAsia="Microsoft YaHei UI" w:hAnsi="Microsoft YaHei UI" w:cs="Microsoft YaHei UI" w:hint="eastAsia"/>
          <w:spacing w:val="5"/>
          <w:sz w:val="17"/>
          <w:szCs w:val="17"/>
          <w:shd w:val="clear" w:color="auto" w:fill="FFFFFF"/>
        </w:rPr>
        <w:t>    </w:t>
      </w:r>
    </w:p>
    <w:p w14:paraId="67059853" w14:textId="77777777" w:rsidR="00BB6E2B" w:rsidRDefault="00C62DEC">
      <w:pPr>
        <w:pStyle w:val="a6"/>
        <w:widowControl/>
        <w:shd w:val="clear" w:color="auto" w:fill="FFFFFF"/>
        <w:spacing w:beforeAutospacing="0" w:afterAutospacing="0"/>
        <w:jc w:val="both"/>
        <w:rPr>
          <w:rFonts w:ascii="Microsoft YaHei UI" w:eastAsia="Microsoft YaHei UI" w:hAnsi="Microsoft YaHei UI" w:cs="Microsoft YaHei UI"/>
          <w:spacing w:val="5"/>
          <w:sz w:val="17"/>
          <w:szCs w:val="17"/>
        </w:rPr>
      </w:pPr>
      <w:r>
        <w:rPr>
          <w:noProof/>
        </w:rPr>
        <w:lastRenderedPageBreak/>
        <w:drawing>
          <wp:inline distT="0" distB="0" distL="114300" distR="114300" wp14:anchorId="17034613" wp14:editId="73A4023E">
            <wp:extent cx="5260975" cy="2658110"/>
            <wp:effectExtent l="0" t="0" r="9525" b="889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3"/>
                    <a:stretch>
                      <a:fillRect/>
                    </a:stretch>
                  </pic:blipFill>
                  <pic:spPr>
                    <a:xfrm>
                      <a:off x="0" y="0"/>
                      <a:ext cx="5260975" cy="2658110"/>
                    </a:xfrm>
                    <a:prstGeom prst="rect">
                      <a:avLst/>
                    </a:prstGeom>
                    <a:noFill/>
                    <a:ln>
                      <a:noFill/>
                    </a:ln>
                  </pic:spPr>
                </pic:pic>
              </a:graphicData>
            </a:graphic>
          </wp:inline>
        </w:drawing>
      </w:r>
    </w:p>
    <w:p w14:paraId="5CB18656" w14:textId="77777777" w:rsidR="00BB6E2B" w:rsidRDefault="00C62DEC">
      <w:pPr>
        <w:pStyle w:val="a6"/>
        <w:widowControl/>
        <w:shd w:val="clear" w:color="auto" w:fill="FFFFFF"/>
        <w:spacing w:beforeAutospacing="0" w:afterAutospacing="0"/>
        <w:jc w:val="both"/>
      </w:pPr>
      <w:r>
        <w:rPr>
          <w:noProof/>
        </w:rPr>
        <w:drawing>
          <wp:inline distT="0" distB="0" distL="114300" distR="114300" wp14:anchorId="75F6FF54" wp14:editId="1FAE2EA1">
            <wp:extent cx="5260975" cy="2658110"/>
            <wp:effectExtent l="0" t="0" r="9525" b="889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4"/>
                    <a:stretch>
                      <a:fillRect/>
                    </a:stretch>
                  </pic:blipFill>
                  <pic:spPr>
                    <a:xfrm>
                      <a:off x="0" y="0"/>
                      <a:ext cx="5260975" cy="2658110"/>
                    </a:xfrm>
                    <a:prstGeom prst="rect">
                      <a:avLst/>
                    </a:prstGeom>
                    <a:noFill/>
                    <a:ln>
                      <a:noFill/>
                    </a:ln>
                  </pic:spPr>
                </pic:pic>
              </a:graphicData>
            </a:graphic>
          </wp:inline>
        </w:drawing>
      </w:r>
    </w:p>
    <w:p w14:paraId="217B82E9" w14:textId="77777777" w:rsidR="00BB6E2B" w:rsidRDefault="00C62DEC">
      <w:pPr>
        <w:pStyle w:val="a6"/>
        <w:widowControl/>
        <w:shd w:val="clear" w:color="auto" w:fill="FFFFFF"/>
        <w:spacing w:beforeAutospacing="0" w:afterAutospacing="0"/>
        <w:jc w:val="both"/>
      </w:pPr>
      <w:r>
        <w:rPr>
          <w:noProof/>
        </w:rPr>
        <w:drawing>
          <wp:inline distT="0" distB="0" distL="114300" distR="114300" wp14:anchorId="783FACBA" wp14:editId="3DD25E65">
            <wp:extent cx="5260975" cy="2658110"/>
            <wp:effectExtent l="0" t="0" r="9525" b="889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5"/>
                    <a:stretch>
                      <a:fillRect/>
                    </a:stretch>
                  </pic:blipFill>
                  <pic:spPr>
                    <a:xfrm>
                      <a:off x="0" y="0"/>
                      <a:ext cx="5260975" cy="2658110"/>
                    </a:xfrm>
                    <a:prstGeom prst="rect">
                      <a:avLst/>
                    </a:prstGeom>
                    <a:noFill/>
                    <a:ln>
                      <a:noFill/>
                    </a:ln>
                  </pic:spPr>
                </pic:pic>
              </a:graphicData>
            </a:graphic>
          </wp:inline>
        </w:drawing>
      </w:r>
    </w:p>
    <w:p w14:paraId="1A59ED2E" w14:textId="77777777" w:rsidR="00BB6E2B" w:rsidRDefault="00C62DEC">
      <w:pPr>
        <w:pStyle w:val="a6"/>
        <w:widowControl/>
        <w:shd w:val="clear" w:color="auto" w:fill="FFFFFF"/>
        <w:spacing w:beforeAutospacing="0" w:afterAutospacing="0"/>
        <w:jc w:val="both"/>
        <w:rPr>
          <w:rFonts w:ascii="Microsoft YaHei UI" w:eastAsia="Microsoft YaHei UI" w:hAnsi="Microsoft YaHei UI" w:cs="Microsoft YaHei UI"/>
          <w:spacing w:val="5"/>
          <w:sz w:val="17"/>
          <w:szCs w:val="17"/>
        </w:rPr>
      </w:pPr>
      <w:r>
        <w:rPr>
          <w:noProof/>
        </w:rPr>
        <w:lastRenderedPageBreak/>
        <w:drawing>
          <wp:inline distT="0" distB="0" distL="114300" distR="114300" wp14:anchorId="4A7C283A" wp14:editId="18200341">
            <wp:extent cx="5260975" cy="2658110"/>
            <wp:effectExtent l="0" t="0" r="9525" b="889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6"/>
                    <a:stretch>
                      <a:fillRect/>
                    </a:stretch>
                  </pic:blipFill>
                  <pic:spPr>
                    <a:xfrm>
                      <a:off x="0" y="0"/>
                      <a:ext cx="5260975" cy="2658110"/>
                    </a:xfrm>
                    <a:prstGeom prst="rect">
                      <a:avLst/>
                    </a:prstGeom>
                    <a:noFill/>
                    <a:ln>
                      <a:noFill/>
                    </a:ln>
                  </pic:spPr>
                </pic:pic>
              </a:graphicData>
            </a:graphic>
          </wp:inline>
        </w:drawing>
      </w:r>
    </w:p>
    <w:p w14:paraId="06ECAA99" w14:textId="77777777" w:rsidR="00BB6E2B" w:rsidRDefault="00C62DEC">
      <w:pPr>
        <w:pStyle w:val="a6"/>
        <w:widowControl/>
        <w:shd w:val="clear" w:color="auto" w:fill="FFFFFF"/>
        <w:spacing w:beforeAutospacing="0" w:afterAutospacing="0"/>
        <w:jc w:val="both"/>
        <w:rPr>
          <w:rFonts w:ascii="Microsoft YaHei UI" w:eastAsia="Microsoft YaHei UI" w:hAnsi="Microsoft YaHei UI" w:cs="Microsoft YaHei UI"/>
          <w:spacing w:val="5"/>
          <w:sz w:val="17"/>
          <w:szCs w:val="17"/>
        </w:rPr>
      </w:pPr>
      <w:r>
        <w:rPr>
          <w:rFonts w:ascii="宋体" w:eastAsia="宋体" w:hAnsi="宋体" w:cs="宋体"/>
          <w:noProof/>
        </w:rPr>
        <w:drawing>
          <wp:inline distT="0" distB="0" distL="114300" distR="114300" wp14:anchorId="1F298159" wp14:editId="1653F7AB">
            <wp:extent cx="5278120" cy="2868295"/>
            <wp:effectExtent l="0" t="0" r="5080" b="1905"/>
            <wp:docPr id="2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IMG_256"/>
                    <pic:cNvPicPr>
                      <a:picLocks noChangeAspect="1"/>
                    </pic:cNvPicPr>
                  </pic:nvPicPr>
                  <pic:blipFill>
                    <a:blip r:embed="rId17"/>
                    <a:stretch>
                      <a:fillRect/>
                    </a:stretch>
                  </pic:blipFill>
                  <pic:spPr>
                    <a:xfrm>
                      <a:off x="0" y="0"/>
                      <a:ext cx="5278120" cy="2868295"/>
                    </a:xfrm>
                    <a:prstGeom prst="rect">
                      <a:avLst/>
                    </a:prstGeom>
                    <a:noFill/>
                    <a:ln w="9525">
                      <a:noFill/>
                    </a:ln>
                  </pic:spPr>
                </pic:pic>
              </a:graphicData>
            </a:graphic>
          </wp:inline>
        </w:drawing>
      </w:r>
    </w:p>
    <w:p w14:paraId="40595B7E" w14:textId="77777777" w:rsidR="00BB6E2B" w:rsidRDefault="00C62DEC">
      <w:pPr>
        <w:pStyle w:val="a6"/>
        <w:widowControl/>
        <w:shd w:val="clear" w:color="auto" w:fill="FFFFFF"/>
        <w:spacing w:beforeAutospacing="0" w:afterAutospacing="0"/>
        <w:jc w:val="both"/>
        <w:rPr>
          <w:rFonts w:ascii="Microsoft YaHei UI" w:eastAsia="Microsoft YaHei UI" w:hAnsi="Microsoft YaHei UI" w:cs="Microsoft YaHei UI"/>
          <w:spacing w:val="5"/>
          <w:sz w:val="17"/>
          <w:szCs w:val="17"/>
        </w:rPr>
      </w:pPr>
      <w:r>
        <w:rPr>
          <w:noProof/>
        </w:rPr>
        <w:drawing>
          <wp:inline distT="0" distB="0" distL="114300" distR="114300" wp14:anchorId="2E5127C6" wp14:editId="7A6FA9CC">
            <wp:extent cx="5260975" cy="2658110"/>
            <wp:effectExtent l="0" t="0" r="9525" b="889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8"/>
                    <a:stretch>
                      <a:fillRect/>
                    </a:stretch>
                  </pic:blipFill>
                  <pic:spPr>
                    <a:xfrm>
                      <a:off x="0" y="0"/>
                      <a:ext cx="5260975" cy="2658110"/>
                    </a:xfrm>
                    <a:prstGeom prst="rect">
                      <a:avLst/>
                    </a:prstGeom>
                    <a:noFill/>
                    <a:ln>
                      <a:noFill/>
                    </a:ln>
                  </pic:spPr>
                </pic:pic>
              </a:graphicData>
            </a:graphic>
          </wp:inline>
        </w:drawing>
      </w:r>
    </w:p>
    <w:p w14:paraId="3F17B52F" w14:textId="77777777" w:rsidR="00BB6E2B" w:rsidRDefault="00C62DEC">
      <w:pPr>
        <w:pStyle w:val="a6"/>
        <w:widowControl/>
        <w:shd w:val="clear" w:color="auto" w:fill="FFFFFF"/>
        <w:spacing w:beforeAutospacing="0" w:afterAutospacing="0"/>
        <w:jc w:val="both"/>
        <w:rPr>
          <w:rFonts w:ascii="Microsoft YaHei UI" w:eastAsia="Microsoft YaHei UI" w:hAnsi="Microsoft YaHei UI" w:cs="Microsoft YaHei UI"/>
          <w:spacing w:val="5"/>
          <w:sz w:val="17"/>
          <w:szCs w:val="17"/>
        </w:rPr>
      </w:pPr>
      <w:r>
        <w:rPr>
          <w:rFonts w:ascii="Times New Roman" w:eastAsia="Microsoft YaHei UI" w:hAnsi="Times New Roman"/>
          <w:spacing w:val="5"/>
          <w:sz w:val="17"/>
          <w:szCs w:val="17"/>
          <w:shd w:val="clear" w:color="auto" w:fill="FFFFFF"/>
        </w:rPr>
        <w:t>          </w:t>
      </w:r>
    </w:p>
    <w:p w14:paraId="0B8E9FB3" w14:textId="77777777" w:rsidR="00BB6E2B" w:rsidRDefault="00C62DEC">
      <w:pPr>
        <w:pStyle w:val="a6"/>
        <w:widowControl/>
        <w:shd w:val="clear" w:color="auto" w:fill="FFFFFF"/>
        <w:spacing w:beforeAutospacing="0" w:afterAutospacing="0"/>
        <w:jc w:val="both"/>
      </w:pPr>
      <w:r>
        <w:rPr>
          <w:noProof/>
        </w:rPr>
        <w:lastRenderedPageBreak/>
        <w:drawing>
          <wp:inline distT="0" distB="0" distL="114300" distR="114300" wp14:anchorId="28D1F344" wp14:editId="196E50CC">
            <wp:extent cx="5260975" cy="2658110"/>
            <wp:effectExtent l="0" t="0" r="9525" b="889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19"/>
                    <a:stretch>
                      <a:fillRect/>
                    </a:stretch>
                  </pic:blipFill>
                  <pic:spPr>
                    <a:xfrm>
                      <a:off x="0" y="0"/>
                      <a:ext cx="5260975" cy="2658110"/>
                    </a:xfrm>
                    <a:prstGeom prst="rect">
                      <a:avLst/>
                    </a:prstGeom>
                    <a:noFill/>
                    <a:ln>
                      <a:noFill/>
                    </a:ln>
                  </pic:spPr>
                </pic:pic>
              </a:graphicData>
            </a:graphic>
          </wp:inline>
        </w:drawing>
      </w:r>
    </w:p>
    <w:p w14:paraId="79913E69" w14:textId="77777777" w:rsidR="00BB6E2B" w:rsidRDefault="00BB6E2B">
      <w:pPr>
        <w:pStyle w:val="a6"/>
        <w:widowControl/>
        <w:shd w:val="clear" w:color="auto" w:fill="FFFFFF"/>
        <w:spacing w:beforeAutospacing="0" w:afterAutospacing="0"/>
        <w:jc w:val="both"/>
      </w:pPr>
    </w:p>
    <w:p w14:paraId="54143EAD" w14:textId="77777777" w:rsidR="00BB6E2B" w:rsidRDefault="00C62DEC">
      <w:pPr>
        <w:pStyle w:val="a6"/>
        <w:widowControl/>
        <w:shd w:val="clear" w:color="auto" w:fill="FFFFFF"/>
        <w:spacing w:beforeAutospacing="0" w:afterAutospacing="0"/>
        <w:jc w:val="both"/>
      </w:pPr>
      <w:r>
        <w:rPr>
          <w:noProof/>
        </w:rPr>
        <w:drawing>
          <wp:inline distT="0" distB="0" distL="114300" distR="114300" wp14:anchorId="381E5476" wp14:editId="7E9B0F1A">
            <wp:extent cx="5260975" cy="2658110"/>
            <wp:effectExtent l="0" t="0" r="9525" b="889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0"/>
                    <a:stretch>
                      <a:fillRect/>
                    </a:stretch>
                  </pic:blipFill>
                  <pic:spPr>
                    <a:xfrm>
                      <a:off x="0" y="0"/>
                      <a:ext cx="5260975" cy="2658110"/>
                    </a:xfrm>
                    <a:prstGeom prst="rect">
                      <a:avLst/>
                    </a:prstGeom>
                    <a:noFill/>
                    <a:ln>
                      <a:noFill/>
                    </a:ln>
                  </pic:spPr>
                </pic:pic>
              </a:graphicData>
            </a:graphic>
          </wp:inline>
        </w:drawing>
      </w:r>
    </w:p>
    <w:p w14:paraId="27B5487E" w14:textId="77777777" w:rsidR="00BB6E2B" w:rsidRDefault="00C62DEC">
      <w:pPr>
        <w:pStyle w:val="a6"/>
        <w:widowControl/>
        <w:shd w:val="clear" w:color="auto" w:fill="FFFFFF"/>
        <w:spacing w:beforeAutospacing="0" w:afterAutospacing="0"/>
        <w:ind w:firstLine="420"/>
        <w:jc w:val="both"/>
        <w:rPr>
          <w:rFonts w:ascii="Microsoft YaHei UI" w:eastAsia="Microsoft YaHei UI" w:hAnsi="Microsoft YaHei UI" w:cs="Microsoft YaHei UI"/>
          <w:spacing w:val="5"/>
          <w:sz w:val="17"/>
          <w:szCs w:val="17"/>
        </w:rPr>
      </w:pPr>
      <w:r>
        <w:rPr>
          <w:rFonts w:ascii="Times New Roman" w:eastAsia="Microsoft YaHei UI" w:hAnsi="Times New Roman"/>
          <w:spacing w:val="5"/>
          <w:sz w:val="17"/>
          <w:szCs w:val="17"/>
          <w:shd w:val="clear" w:color="auto" w:fill="FFFFFF"/>
        </w:rPr>
        <w:t>                   </w:t>
      </w:r>
      <w:r>
        <w:rPr>
          <w:rFonts w:ascii="Microsoft YaHei UI" w:eastAsia="Microsoft YaHei UI" w:hAnsi="Microsoft YaHei UI" w:cs="Microsoft YaHei UI" w:hint="eastAsia"/>
          <w:spacing w:val="5"/>
          <w:sz w:val="17"/>
          <w:szCs w:val="17"/>
          <w:shd w:val="clear" w:color="auto" w:fill="FFFFFF"/>
        </w:rPr>
        <w:t>    </w:t>
      </w:r>
      <w:r>
        <w:rPr>
          <w:noProof/>
        </w:rPr>
        <w:drawing>
          <wp:inline distT="0" distB="0" distL="114300" distR="114300" wp14:anchorId="1D9F494A" wp14:editId="02CB64A4">
            <wp:extent cx="5260975" cy="2658110"/>
            <wp:effectExtent l="0" t="0" r="9525" b="889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1"/>
                    <a:stretch>
                      <a:fillRect/>
                    </a:stretch>
                  </pic:blipFill>
                  <pic:spPr>
                    <a:xfrm>
                      <a:off x="0" y="0"/>
                      <a:ext cx="5260975" cy="2658110"/>
                    </a:xfrm>
                    <a:prstGeom prst="rect">
                      <a:avLst/>
                    </a:prstGeom>
                    <a:noFill/>
                    <a:ln>
                      <a:noFill/>
                    </a:ln>
                  </pic:spPr>
                </pic:pic>
              </a:graphicData>
            </a:graphic>
          </wp:inline>
        </w:drawing>
      </w:r>
    </w:p>
    <w:p w14:paraId="70AAD4D9" w14:textId="77777777" w:rsidR="00BB6E2B" w:rsidRDefault="00C62DEC">
      <w:pPr>
        <w:pStyle w:val="a6"/>
        <w:widowControl/>
        <w:shd w:val="clear" w:color="auto" w:fill="FFFFFF"/>
        <w:spacing w:beforeAutospacing="0" w:afterAutospacing="0"/>
        <w:jc w:val="both"/>
        <w:rPr>
          <w:rFonts w:ascii="Microsoft YaHei UI" w:eastAsia="Microsoft YaHei UI" w:hAnsi="Microsoft YaHei UI" w:cs="Microsoft YaHei UI"/>
          <w:spacing w:val="5"/>
          <w:sz w:val="17"/>
          <w:szCs w:val="17"/>
        </w:rPr>
      </w:pPr>
      <w:r>
        <w:rPr>
          <w:noProof/>
        </w:rPr>
        <w:lastRenderedPageBreak/>
        <w:drawing>
          <wp:inline distT="0" distB="0" distL="114300" distR="114300" wp14:anchorId="4FE0A95D" wp14:editId="78CE410E">
            <wp:extent cx="5260975" cy="2658110"/>
            <wp:effectExtent l="0" t="0" r="9525" b="889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2"/>
                    <a:stretch>
                      <a:fillRect/>
                    </a:stretch>
                  </pic:blipFill>
                  <pic:spPr>
                    <a:xfrm>
                      <a:off x="0" y="0"/>
                      <a:ext cx="5260975" cy="2658110"/>
                    </a:xfrm>
                    <a:prstGeom prst="rect">
                      <a:avLst/>
                    </a:prstGeom>
                    <a:noFill/>
                    <a:ln>
                      <a:noFill/>
                    </a:ln>
                  </pic:spPr>
                </pic:pic>
              </a:graphicData>
            </a:graphic>
          </wp:inline>
        </w:drawing>
      </w:r>
    </w:p>
    <w:p w14:paraId="64B4892F" w14:textId="77777777" w:rsidR="00BB6E2B" w:rsidRDefault="00C62DEC">
      <w:pPr>
        <w:pStyle w:val="a6"/>
        <w:widowControl/>
        <w:shd w:val="clear" w:color="auto" w:fill="FFFFFF"/>
        <w:spacing w:beforeAutospacing="0" w:afterAutospacing="0"/>
        <w:jc w:val="center"/>
        <w:rPr>
          <w:rFonts w:ascii="Microsoft YaHei UI" w:eastAsia="Microsoft YaHei UI" w:hAnsi="Microsoft YaHei UI" w:cs="Microsoft YaHei UI"/>
          <w:spacing w:val="5"/>
          <w:sz w:val="17"/>
          <w:szCs w:val="17"/>
        </w:rPr>
      </w:pPr>
      <w:r>
        <w:rPr>
          <w:noProof/>
        </w:rPr>
        <w:drawing>
          <wp:inline distT="0" distB="0" distL="114300" distR="114300" wp14:anchorId="1BA2B8FD" wp14:editId="4C9F81F9">
            <wp:extent cx="5260975" cy="2658110"/>
            <wp:effectExtent l="0" t="0" r="9525" b="889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3"/>
                    <a:stretch>
                      <a:fillRect/>
                    </a:stretch>
                  </pic:blipFill>
                  <pic:spPr>
                    <a:xfrm>
                      <a:off x="0" y="0"/>
                      <a:ext cx="5260975" cy="2658110"/>
                    </a:xfrm>
                    <a:prstGeom prst="rect">
                      <a:avLst/>
                    </a:prstGeom>
                    <a:noFill/>
                    <a:ln>
                      <a:noFill/>
                    </a:ln>
                  </pic:spPr>
                </pic:pic>
              </a:graphicData>
            </a:graphic>
          </wp:inline>
        </w:drawing>
      </w:r>
    </w:p>
    <w:p w14:paraId="7CFFAFC1" w14:textId="77777777" w:rsidR="00BB6E2B" w:rsidRDefault="00BB6E2B">
      <w:pPr>
        <w:pStyle w:val="a6"/>
        <w:widowControl/>
        <w:shd w:val="clear" w:color="auto" w:fill="FFFFFF"/>
        <w:spacing w:beforeAutospacing="0" w:afterAutospacing="0"/>
        <w:jc w:val="center"/>
        <w:rPr>
          <w:rFonts w:ascii="Microsoft YaHei UI" w:eastAsia="Microsoft YaHei UI" w:hAnsi="Microsoft YaHei UI" w:cs="Microsoft YaHei UI"/>
          <w:spacing w:val="5"/>
          <w:sz w:val="17"/>
          <w:szCs w:val="17"/>
        </w:rPr>
      </w:pPr>
    </w:p>
    <w:p w14:paraId="78067D97" w14:textId="77777777" w:rsidR="00BB6E2B" w:rsidRDefault="00C62DEC">
      <w:pPr>
        <w:pStyle w:val="a6"/>
        <w:widowControl/>
        <w:shd w:val="clear" w:color="auto" w:fill="FFFFFF"/>
        <w:spacing w:beforeAutospacing="0" w:afterAutospacing="0"/>
        <w:jc w:val="center"/>
        <w:rPr>
          <w:rFonts w:ascii="Microsoft YaHei UI" w:eastAsia="Microsoft YaHei UI" w:hAnsi="Microsoft YaHei UI" w:cs="Microsoft YaHei UI"/>
          <w:spacing w:val="5"/>
          <w:sz w:val="17"/>
          <w:szCs w:val="17"/>
        </w:rPr>
      </w:pPr>
      <w:r>
        <w:rPr>
          <w:noProof/>
        </w:rPr>
        <w:drawing>
          <wp:inline distT="0" distB="0" distL="114300" distR="114300" wp14:anchorId="1E4A12EA" wp14:editId="1AC44C3D">
            <wp:extent cx="5260975" cy="2658110"/>
            <wp:effectExtent l="0" t="0" r="9525" b="889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4"/>
                    <a:stretch>
                      <a:fillRect/>
                    </a:stretch>
                  </pic:blipFill>
                  <pic:spPr>
                    <a:xfrm>
                      <a:off x="0" y="0"/>
                      <a:ext cx="5260975" cy="2658110"/>
                    </a:xfrm>
                    <a:prstGeom prst="rect">
                      <a:avLst/>
                    </a:prstGeom>
                    <a:noFill/>
                    <a:ln>
                      <a:noFill/>
                    </a:ln>
                  </pic:spPr>
                </pic:pic>
              </a:graphicData>
            </a:graphic>
          </wp:inline>
        </w:drawing>
      </w:r>
    </w:p>
    <w:p w14:paraId="2C0CFB13" w14:textId="77777777" w:rsidR="00BB6E2B" w:rsidRDefault="00C62DEC">
      <w:pPr>
        <w:pStyle w:val="a6"/>
        <w:widowControl/>
        <w:shd w:val="clear" w:color="auto" w:fill="FFFFFF"/>
        <w:spacing w:beforeAutospacing="0" w:afterAutospacing="0"/>
        <w:ind w:firstLine="420"/>
        <w:jc w:val="both"/>
      </w:pPr>
      <w:r>
        <w:rPr>
          <w:rFonts w:ascii="Microsoft YaHei UI" w:eastAsia="Microsoft YaHei UI" w:hAnsi="Microsoft YaHei UI" w:cs="Microsoft YaHei UI" w:hint="eastAsia"/>
          <w:spacing w:val="5"/>
          <w:sz w:val="17"/>
          <w:szCs w:val="17"/>
          <w:shd w:val="clear" w:color="auto" w:fill="FFFFFF"/>
        </w:rPr>
        <w:t>   </w:t>
      </w:r>
    </w:p>
    <w:sectPr w:rsidR="00BB6E2B">
      <w:headerReference w:type="even" r:id="rId25"/>
      <w:headerReference w:type="default" r:id="rId26"/>
      <w:footerReference w:type="even" r:id="rId27"/>
      <w:footerReference w:type="default" r:id="rId28"/>
      <w:headerReference w:type="first" r:id="rId29"/>
      <w:footerReference w:type="first" r:id="rId30"/>
      <w:pgSz w:w="11906" w:h="16838"/>
      <w:pgMar w:top="1440" w:right="1800" w:bottom="1440" w:left="1800" w:header="851" w:footer="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4F8E9" w14:textId="77777777" w:rsidR="00C62DEC" w:rsidRDefault="00C62DEC">
      <w:r>
        <w:separator/>
      </w:r>
    </w:p>
  </w:endnote>
  <w:endnote w:type="continuationSeparator" w:id="0">
    <w:p w14:paraId="50AFBB62" w14:textId="77777777" w:rsidR="00C62DEC" w:rsidRDefault="00C62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0783C" w14:textId="77777777" w:rsidR="00552F3D" w:rsidRDefault="00552F3D">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637CC" w14:textId="77777777" w:rsidR="00BB6E2B" w:rsidRDefault="00C62DEC">
    <w:pPr>
      <w:autoSpaceDE w:val="0"/>
      <w:autoSpaceDN w:val="0"/>
      <w:spacing w:line="180" w:lineRule="exact"/>
      <w:rPr>
        <w:rFonts w:hAnsi="Calibri"/>
        <w:sz w:val="18"/>
        <w:szCs w:val="22"/>
      </w:rPr>
    </w:pPr>
    <w:r>
      <w:rPr>
        <w:rFonts w:ascii="宋体" w:hAnsi="宋体" w:cs="宋体"/>
        <w:sz w:val="18"/>
        <w:szCs w:val="22"/>
      </w:rPr>
      <w:t>大连瀚闻资讯有限公司</w:t>
    </w:r>
  </w:p>
  <w:p w14:paraId="1CC75A96" w14:textId="6FB201B0" w:rsidR="00BB6E2B" w:rsidRDefault="00C62DEC">
    <w:pPr>
      <w:autoSpaceDE w:val="0"/>
      <w:autoSpaceDN w:val="0"/>
      <w:spacing w:before="36" w:line="220" w:lineRule="exact"/>
      <w:rPr>
        <w:rFonts w:hAnsi="Calibri"/>
        <w:sz w:val="18"/>
        <w:szCs w:val="22"/>
      </w:rPr>
    </w:pPr>
    <w:r>
      <w:rPr>
        <w:rFonts w:ascii="宋体" w:hAnsi="宋体" w:cs="宋体"/>
        <w:sz w:val="18"/>
        <w:szCs w:val="22"/>
      </w:rPr>
      <w:t>项目经理</w:t>
    </w:r>
    <w:r>
      <w:rPr>
        <w:rFonts w:hAnsi="Calibri"/>
        <w:spacing w:val="46"/>
        <w:sz w:val="18"/>
        <w:szCs w:val="22"/>
      </w:rPr>
      <w:t xml:space="preserve"> </w:t>
    </w:r>
    <w:r w:rsidR="00552F3D">
      <w:rPr>
        <w:rFonts w:ascii="Calibri" w:hAnsi="Calibri" w:hint="eastAsia"/>
        <w:spacing w:val="5"/>
        <w:sz w:val="18"/>
        <w:szCs w:val="22"/>
      </w:rPr>
      <w:t>张雨微</w:t>
    </w:r>
  </w:p>
  <w:p w14:paraId="26EAFF4A" w14:textId="635BAC05" w:rsidR="00BB6E2B" w:rsidRDefault="00C62DEC">
    <w:pPr>
      <w:autoSpaceDE w:val="0"/>
      <w:autoSpaceDN w:val="0"/>
      <w:spacing w:before="15" w:line="220" w:lineRule="exact"/>
      <w:rPr>
        <w:rFonts w:ascii="Calibri" w:hAnsi="Calibri"/>
        <w:sz w:val="18"/>
        <w:szCs w:val="22"/>
      </w:rPr>
    </w:pPr>
    <w:r>
      <w:rPr>
        <w:rFonts w:ascii="Calibri" w:hAnsi="Calibri"/>
        <w:spacing w:val="-6"/>
        <w:sz w:val="18"/>
        <w:szCs w:val="22"/>
      </w:rPr>
      <w:t>Tel</w:t>
    </w:r>
    <w:r>
      <w:rPr>
        <w:rFonts w:ascii="宋体" w:hAnsi="宋体" w:cs="宋体"/>
        <w:sz w:val="18"/>
        <w:szCs w:val="22"/>
      </w:rPr>
      <w:t>：</w:t>
    </w:r>
    <w:r w:rsidR="00552F3D">
      <w:rPr>
        <w:rFonts w:ascii="宋体" w:hAnsi="宋体" w:cs="宋体"/>
        <w:sz w:val="18"/>
        <w:szCs w:val="22"/>
      </w:rPr>
      <w:t>13998670795</w:t>
    </w:r>
  </w:p>
  <w:p w14:paraId="205088B6" w14:textId="16F0D57E" w:rsidR="00BB6E2B" w:rsidRDefault="00C62DEC">
    <w:pPr>
      <w:autoSpaceDE w:val="0"/>
      <w:autoSpaceDN w:val="0"/>
      <w:spacing w:before="13" w:line="220" w:lineRule="exact"/>
      <w:rPr>
        <w:rFonts w:ascii="Calibri" w:hAnsi="Calibri"/>
        <w:sz w:val="18"/>
        <w:szCs w:val="22"/>
        <w:u w:val="single"/>
      </w:rPr>
    </w:pPr>
    <w:r>
      <w:rPr>
        <w:rFonts w:ascii="Calibri" w:hAnsi="Calibri"/>
        <w:sz w:val="18"/>
        <w:szCs w:val="22"/>
      </w:rPr>
      <w:t>Email</w:t>
    </w:r>
    <w:hyperlink r:id="rId1" w:history="1">
      <w:r>
        <w:rPr>
          <w:rFonts w:ascii="宋体" w:hAnsi="宋体" w:cs="宋体"/>
          <w:sz w:val="18"/>
          <w:szCs w:val="22"/>
        </w:rPr>
        <w:t>：</w:t>
      </w:r>
    </w:hyperlink>
    <w:hyperlink r:id="rId2" w:history="1">
      <w:r w:rsidR="00552F3D" w:rsidRPr="003F1D0D">
        <w:rPr>
          <w:rStyle w:val="a8"/>
          <w:rFonts w:ascii="Calibri" w:hAnsi="Calibri"/>
          <w:sz w:val="18"/>
          <w:szCs w:val="22"/>
        </w:rPr>
        <w:t>yuwei@sinoimex.com</w:t>
      </w:r>
    </w:hyperlink>
  </w:p>
  <w:p w14:paraId="4C9964E4" w14:textId="77777777" w:rsidR="00BB6E2B" w:rsidRDefault="00C62DEC">
    <w:pPr>
      <w:autoSpaceDE w:val="0"/>
      <w:autoSpaceDN w:val="0"/>
      <w:spacing w:before="13" w:line="220" w:lineRule="exact"/>
      <w:rPr>
        <w:rFonts w:hAnsi="Calibri"/>
        <w:sz w:val="18"/>
        <w:szCs w:val="22"/>
      </w:rPr>
    </w:pPr>
    <w:r>
      <w:rPr>
        <w:rFonts w:ascii="Calibri" w:hAnsi="Calibri"/>
        <w:spacing w:val="-1"/>
        <w:sz w:val="18"/>
        <w:szCs w:val="22"/>
      </w:rPr>
      <w:t>Address</w:t>
    </w:r>
    <w:r>
      <w:rPr>
        <w:rFonts w:ascii="宋体" w:hAnsi="宋体" w:cs="宋体"/>
        <w:sz w:val="18"/>
        <w:szCs w:val="22"/>
      </w:rPr>
      <w:t>：辽宁省大连高新技术产业园区</w:t>
    </w:r>
    <w:proofErr w:type="gramStart"/>
    <w:r>
      <w:rPr>
        <w:rFonts w:ascii="宋体" w:hAnsi="宋体" w:cs="宋体"/>
        <w:sz w:val="18"/>
        <w:szCs w:val="22"/>
      </w:rPr>
      <w:t>汇贤园</w:t>
    </w:r>
    <w:proofErr w:type="gramEnd"/>
    <w:r>
      <w:rPr>
        <w:rFonts w:hAnsi="Calibri"/>
        <w:spacing w:val="1"/>
        <w:sz w:val="18"/>
        <w:szCs w:val="22"/>
      </w:rPr>
      <w:t xml:space="preserve"> </w:t>
    </w:r>
    <w:r>
      <w:rPr>
        <w:rFonts w:ascii="Calibri" w:hAnsi="Calibri"/>
        <w:sz w:val="18"/>
        <w:szCs w:val="22"/>
      </w:rPr>
      <w:t>11C-2</w:t>
    </w:r>
    <w:r>
      <w:rPr>
        <w:rFonts w:ascii="Calibri" w:hAnsi="Calibri"/>
        <w:spacing w:val="5"/>
        <w:sz w:val="18"/>
        <w:szCs w:val="22"/>
      </w:rPr>
      <w:t xml:space="preserve"> </w:t>
    </w:r>
    <w:r>
      <w:rPr>
        <w:rFonts w:ascii="宋体" w:hAnsi="宋体" w:cs="宋体"/>
        <w:sz w:val="18"/>
        <w:szCs w:val="22"/>
      </w:rPr>
      <w:t>号</w:t>
    </w:r>
  </w:p>
  <w:p w14:paraId="33C05034" w14:textId="77777777" w:rsidR="00BB6E2B" w:rsidRDefault="00BB6E2B">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A1E35" w14:textId="77777777" w:rsidR="00552F3D" w:rsidRDefault="00552F3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58C2E" w14:textId="77777777" w:rsidR="00C62DEC" w:rsidRDefault="00C62DEC">
      <w:r>
        <w:separator/>
      </w:r>
    </w:p>
  </w:footnote>
  <w:footnote w:type="continuationSeparator" w:id="0">
    <w:p w14:paraId="507DFCE5" w14:textId="77777777" w:rsidR="00C62DEC" w:rsidRDefault="00C62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C60B5" w14:textId="77777777" w:rsidR="00552F3D" w:rsidRDefault="00552F3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BF10F" w14:textId="77777777" w:rsidR="00BB6E2B" w:rsidRDefault="00BB6E2B">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D2B5A" w14:textId="77777777" w:rsidR="00552F3D" w:rsidRDefault="00552F3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08A3C1"/>
    <w:multiLevelType w:val="singleLevel"/>
    <w:tmpl w:val="9808A3C1"/>
    <w:lvl w:ilvl="0">
      <w:start w:val="1"/>
      <w:numFmt w:val="decimal"/>
      <w:lvlText w:val="%1."/>
      <w:lvlJc w:val="left"/>
      <w:pPr>
        <w:ind w:left="425" w:hanging="425"/>
      </w:pPr>
      <w:rPr>
        <w:rFonts w:hint="default"/>
      </w:rPr>
    </w:lvl>
  </w:abstractNum>
  <w:abstractNum w:abstractNumId="1" w15:restartNumberingAfterBreak="0">
    <w:nsid w:val="9B3E0D4E"/>
    <w:multiLevelType w:val="singleLevel"/>
    <w:tmpl w:val="9B3E0D4E"/>
    <w:lvl w:ilvl="0">
      <w:start w:val="1"/>
      <w:numFmt w:val="decimal"/>
      <w:lvlText w:val="%1."/>
      <w:lvlJc w:val="left"/>
      <w:pPr>
        <w:ind w:left="425" w:hanging="425"/>
      </w:pPr>
      <w:rPr>
        <w:rFonts w:hint="default"/>
      </w:rPr>
    </w:lvl>
  </w:abstractNum>
  <w:abstractNum w:abstractNumId="2" w15:restartNumberingAfterBreak="0">
    <w:nsid w:val="B0473DA0"/>
    <w:multiLevelType w:val="singleLevel"/>
    <w:tmpl w:val="B0473DA0"/>
    <w:lvl w:ilvl="0">
      <w:start w:val="7"/>
      <w:numFmt w:val="chineseCounting"/>
      <w:suff w:val="nothing"/>
      <w:lvlText w:val="%1、"/>
      <w:lvlJc w:val="left"/>
      <w:rPr>
        <w:rFonts w:hint="eastAsia"/>
      </w:rPr>
    </w:lvl>
  </w:abstractNum>
  <w:abstractNum w:abstractNumId="3" w15:restartNumberingAfterBreak="0">
    <w:nsid w:val="D2130123"/>
    <w:multiLevelType w:val="singleLevel"/>
    <w:tmpl w:val="D2130123"/>
    <w:lvl w:ilvl="0">
      <w:start w:val="1"/>
      <w:numFmt w:val="decimal"/>
      <w:lvlText w:val="%1."/>
      <w:lvlJc w:val="left"/>
      <w:pPr>
        <w:ind w:left="425" w:hanging="425"/>
      </w:pPr>
      <w:rPr>
        <w:rFonts w:hint="default"/>
      </w:rPr>
    </w:lvl>
  </w:abstractNum>
  <w:abstractNum w:abstractNumId="4" w15:restartNumberingAfterBreak="0">
    <w:nsid w:val="3DCD3500"/>
    <w:multiLevelType w:val="singleLevel"/>
    <w:tmpl w:val="3DCD3500"/>
    <w:lvl w:ilvl="0">
      <w:start w:val="1"/>
      <w:numFmt w:val="decimal"/>
      <w:lvlText w:val="%1."/>
      <w:lvlJc w:val="left"/>
      <w:pPr>
        <w:ind w:left="425" w:hanging="425"/>
      </w:pPr>
      <w:rPr>
        <w:rFonts w:hint="default"/>
      </w:rPr>
    </w:lvl>
  </w:abstractNum>
  <w:abstractNum w:abstractNumId="5" w15:restartNumberingAfterBreak="0">
    <w:nsid w:val="51E96B0D"/>
    <w:multiLevelType w:val="singleLevel"/>
    <w:tmpl w:val="51E96B0D"/>
    <w:lvl w:ilvl="0">
      <w:start w:val="1"/>
      <w:numFmt w:val="decimal"/>
      <w:lvlText w:val="%1."/>
      <w:lvlJc w:val="left"/>
      <w:pPr>
        <w:ind w:left="425" w:hanging="425"/>
      </w:pPr>
      <w:rPr>
        <w:rFonts w:hint="default"/>
      </w:rPr>
    </w:lvl>
  </w:abstractNum>
  <w:abstractNum w:abstractNumId="6" w15:restartNumberingAfterBreak="0">
    <w:nsid w:val="62AF5243"/>
    <w:multiLevelType w:val="singleLevel"/>
    <w:tmpl w:val="62AF5243"/>
    <w:lvl w:ilvl="0">
      <w:start w:val="1"/>
      <w:numFmt w:val="decimal"/>
      <w:lvlText w:val="%1."/>
      <w:lvlJc w:val="left"/>
      <w:pPr>
        <w:ind w:left="425" w:hanging="425"/>
      </w:pPr>
      <w:rPr>
        <w:rFonts w:hint="default"/>
      </w:rPr>
    </w:lvl>
  </w:abstractNum>
  <w:abstractNum w:abstractNumId="7" w15:restartNumberingAfterBreak="0">
    <w:nsid w:val="7168D3C7"/>
    <w:multiLevelType w:val="singleLevel"/>
    <w:tmpl w:val="7168D3C7"/>
    <w:lvl w:ilvl="0">
      <w:start w:val="1"/>
      <w:numFmt w:val="chineseCounting"/>
      <w:suff w:val="nothing"/>
      <w:lvlText w:val="%1、"/>
      <w:lvlJc w:val="left"/>
      <w:rPr>
        <w:rFonts w:hint="eastAsia"/>
      </w:rPr>
    </w:lvl>
  </w:abstractNum>
  <w:num w:numId="1">
    <w:abstractNumId w:val="7"/>
  </w:num>
  <w:num w:numId="2">
    <w:abstractNumId w:val="1"/>
  </w:num>
  <w:num w:numId="3">
    <w:abstractNumId w:val="6"/>
  </w:num>
  <w:num w:numId="4">
    <w:abstractNumId w:val="3"/>
  </w:num>
  <w:num w:numId="5">
    <w:abstractNumId w:val="0"/>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E0MmM3MDEzOTMyZDFiNTg0ZmUyMmM0ZDljYmU4MDAifQ=="/>
    <w:docVar w:name="KSO_WPS_MARK_KEY" w:val="2dde3195-2b45-4fc6-be20-885ea0758997"/>
  </w:docVars>
  <w:rsids>
    <w:rsidRoot w:val="67E517BC"/>
    <w:rsid w:val="00552F3D"/>
    <w:rsid w:val="00BB6E2B"/>
    <w:rsid w:val="00C62DEC"/>
    <w:rsid w:val="012E1395"/>
    <w:rsid w:val="0A067EDC"/>
    <w:rsid w:val="1BCD25F5"/>
    <w:rsid w:val="3C4D28B7"/>
    <w:rsid w:val="3E645E2F"/>
    <w:rsid w:val="3F9254D8"/>
    <w:rsid w:val="45E0412D"/>
    <w:rsid w:val="48AD63EF"/>
    <w:rsid w:val="4CB33BEB"/>
    <w:rsid w:val="4FCC2805"/>
    <w:rsid w:val="562E5830"/>
    <w:rsid w:val="67E517BC"/>
    <w:rsid w:val="7C780BDE"/>
    <w:rsid w:val="7D0B1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9EA6E9B"/>
  <w15:docId w15:val="{7E9B29FA-43D8-4B44-9B2A-929D90D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uiPriority w:val="9"/>
    <w:qFormat/>
    <w:pPr>
      <w:widowControl/>
      <w:spacing w:before="100" w:beforeAutospacing="1" w:after="100" w:afterAutospacing="1"/>
      <w:outlineLvl w:val="2"/>
    </w:pPr>
    <w:rPr>
      <w:rFonts w:ascii="宋体" w:hAnsi="宋体" w:cs="宋体"/>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1"/>
    <w:qFormat/>
    <w:pPr>
      <w:ind w:left="360"/>
    </w:pPr>
    <w:rPr>
      <w:sz w:val="28"/>
      <w:szCs w:val="2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character" w:styleId="a7">
    <w:name w:val="Strong"/>
    <w:basedOn w:val="a1"/>
    <w:qFormat/>
    <w:rPr>
      <w:b/>
    </w:rPr>
  </w:style>
  <w:style w:type="character" w:styleId="a8">
    <w:name w:val="Hyperlink"/>
    <w:basedOn w:val="a1"/>
    <w:rsid w:val="00552F3D"/>
    <w:rPr>
      <w:color w:val="0563C1" w:themeColor="hyperlink"/>
      <w:u w:val="single"/>
    </w:rPr>
  </w:style>
  <w:style w:type="character" w:styleId="a9">
    <w:name w:val="Unresolved Mention"/>
    <w:basedOn w:val="a1"/>
    <w:uiPriority w:val="99"/>
    <w:semiHidden/>
    <w:unhideWhenUsed/>
    <w:rsid w:val="00552F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baidu.com/link?url=nETriLynyyPeCgjqkrh6LUYF-LI54d1h2IIKc-wlnV6_aUvfzRjhSV5pL8nsT19X"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yuwei@sinoimex.com" TargetMode="External"/><Relationship Id="rId1" Type="http://schemas.openxmlformats.org/officeDocument/2006/relationships/hyperlink" Target="mailto:longhaiyang@sinoimex.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466</Words>
  <Characters>2660</Characters>
  <Application>Microsoft Office Word</Application>
  <DocSecurity>0</DocSecurity>
  <Lines>22</Lines>
  <Paragraphs>6</Paragraphs>
  <ScaleCrop>false</ScaleCrop>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老衲五岁了●﹏●</dc:creator>
  <cp:lastModifiedBy>张 大花</cp:lastModifiedBy>
  <cp:revision>2</cp:revision>
  <dcterms:created xsi:type="dcterms:W3CDTF">2024-05-29T03:07:00Z</dcterms:created>
  <dcterms:modified xsi:type="dcterms:W3CDTF">2024-05-29T03:07:00Z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812D501A8E5940FDBA2025728B9C90D5</vt:lpwstr>
  </property>
</Properties>
</file>